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68" w:rsidRPr="00440B68" w:rsidRDefault="00BA0946" w:rsidP="00BA0946">
      <w:pPr>
        <w:keepNext/>
        <w:keepLines/>
        <w:spacing w:after="480" w:line="240" w:lineRule="auto"/>
        <w:ind w:left="432" w:hanging="432"/>
        <w:outlineLvl w:val="0"/>
        <w:rPr>
          <w:rFonts w:ascii="Arial" w:eastAsiaTheme="majorEastAsia" w:hAnsi="Arial" w:cs="Arial"/>
          <w:b/>
          <w:bCs/>
          <w:sz w:val="36"/>
          <w:szCs w:val="36"/>
        </w:rPr>
      </w:pPr>
      <w:bookmarkStart w:id="0" w:name="_Toc480211798"/>
      <w:bookmarkStart w:id="1" w:name="_GoBack"/>
      <w:bookmarkEnd w:id="1"/>
      <w:r w:rsidRPr="00440B68">
        <w:rPr>
          <w:rFonts w:ascii="Arial" w:eastAsiaTheme="majorEastAsia" w:hAnsi="Arial" w:cs="Arial"/>
          <w:b/>
          <w:bCs/>
          <w:sz w:val="36"/>
          <w:szCs w:val="36"/>
        </w:rPr>
        <w:t>FAIR OPPORTUNITY EXCEPTIONS</w:t>
      </w:r>
      <w:bookmarkEnd w:id="0"/>
      <w:r w:rsidRPr="00440B68">
        <w:rPr>
          <w:rFonts w:ascii="Arial" w:eastAsiaTheme="majorEastAsia" w:hAnsi="Arial" w:cs="Arial"/>
          <w:b/>
          <w:bCs/>
          <w:sz w:val="36"/>
          <w:szCs w:val="36"/>
        </w:rPr>
        <w:t xml:space="preserve"> </w:t>
      </w:r>
    </w:p>
    <w:p w:rsidR="00440B68" w:rsidRPr="00174DB5" w:rsidRDefault="00440B68" w:rsidP="00BA0946">
      <w:pPr>
        <w:spacing w:after="160" w:line="280" w:lineRule="exact"/>
        <w:rPr>
          <w:rFonts w:ascii="Arial" w:hAnsi="Arial" w:cs="Arial"/>
        </w:rPr>
      </w:pPr>
      <w:r w:rsidRPr="00174DB5">
        <w:rPr>
          <w:rFonts w:ascii="Arial" w:hAnsi="Arial" w:cs="Arial"/>
        </w:rPr>
        <w:t>There are six exceptions to competition in FAR 16.505 that apply to multiple-award Task Order (TO) requirements. They are listed below along with policy interpretations.</w:t>
      </w:r>
    </w:p>
    <w:p w:rsidR="00440B68" w:rsidRPr="00174DB5" w:rsidRDefault="00440B68" w:rsidP="00BA0946">
      <w:pPr>
        <w:numPr>
          <w:ilvl w:val="0"/>
          <w:numId w:val="11"/>
        </w:numPr>
        <w:spacing w:line="280" w:lineRule="exact"/>
        <w:ind w:left="360"/>
        <w:contextualSpacing/>
        <w:rPr>
          <w:rFonts w:ascii="Arial" w:hAnsi="Arial" w:cs="Arial"/>
          <w:b/>
        </w:rPr>
      </w:pPr>
      <w:r w:rsidRPr="00174DB5">
        <w:rPr>
          <w:rFonts w:ascii="Arial" w:hAnsi="Arial" w:cs="Arial"/>
          <w:b/>
        </w:rPr>
        <w:t>URGENCY</w:t>
      </w:r>
    </w:p>
    <w:p w:rsidR="00440B68" w:rsidRPr="00174DB5" w:rsidRDefault="00440B68" w:rsidP="00BA0946">
      <w:pPr>
        <w:spacing w:after="160" w:line="280" w:lineRule="exact"/>
        <w:rPr>
          <w:rFonts w:ascii="Arial" w:hAnsi="Arial" w:cs="Arial"/>
        </w:rPr>
      </w:pPr>
      <w:r w:rsidRPr="00174DB5">
        <w:rPr>
          <w:rFonts w:ascii="Arial" w:hAnsi="Arial" w:cs="Arial"/>
        </w:rPr>
        <w:t>This exception applies in cases of “public exigency.” The agency need for such services is so urgent, that providing a fair opportunity would result in unacceptable delays. However, the user must objectively demonstrate that the public interest would suffer if requirements were not fulﬁlled, e.g., failure to develop a program by a date mandated by Congress, etc. A failure to meet established work requirements is not a sufﬁcient cause, unless it can be demonstrated that some public interest is threatened.</w:t>
      </w:r>
    </w:p>
    <w:p w:rsidR="00440B68" w:rsidRPr="00174DB5" w:rsidRDefault="00440B68" w:rsidP="00BA0946">
      <w:pPr>
        <w:numPr>
          <w:ilvl w:val="0"/>
          <w:numId w:val="11"/>
        </w:numPr>
        <w:spacing w:line="280" w:lineRule="exact"/>
        <w:ind w:left="360"/>
        <w:contextualSpacing/>
        <w:rPr>
          <w:rFonts w:ascii="Arial" w:hAnsi="Arial" w:cs="Arial"/>
          <w:b/>
        </w:rPr>
      </w:pPr>
      <w:r w:rsidRPr="00174DB5">
        <w:rPr>
          <w:rFonts w:ascii="Arial" w:hAnsi="Arial" w:cs="Arial"/>
          <w:b/>
        </w:rPr>
        <w:t>UNIQUE REQUIREMENTS</w:t>
      </w:r>
    </w:p>
    <w:p w:rsidR="00440B68" w:rsidRPr="00174DB5" w:rsidRDefault="00440B68" w:rsidP="00BA0946">
      <w:pPr>
        <w:spacing w:after="160" w:line="280" w:lineRule="exact"/>
        <w:rPr>
          <w:rFonts w:ascii="Arial" w:hAnsi="Arial" w:cs="Arial"/>
        </w:rPr>
      </w:pPr>
      <w:r w:rsidRPr="00174DB5">
        <w:rPr>
          <w:rFonts w:ascii="Arial" w:hAnsi="Arial" w:cs="Arial"/>
        </w:rPr>
        <w:t>This exception applies when only one awardee is capable of providing the required services, at a sufﬁcient quality level, because the services ordered are unique or highly specialized.</w:t>
      </w:r>
    </w:p>
    <w:p w:rsidR="00440B68" w:rsidRPr="00174DB5" w:rsidRDefault="00440B68" w:rsidP="00BA0946">
      <w:pPr>
        <w:numPr>
          <w:ilvl w:val="0"/>
          <w:numId w:val="11"/>
        </w:numPr>
        <w:spacing w:line="280" w:lineRule="exact"/>
        <w:ind w:left="360"/>
        <w:contextualSpacing/>
        <w:rPr>
          <w:rFonts w:ascii="Arial" w:hAnsi="Arial" w:cs="Arial"/>
          <w:b/>
        </w:rPr>
      </w:pPr>
      <w:r w:rsidRPr="00174DB5">
        <w:rPr>
          <w:rFonts w:ascii="Arial" w:hAnsi="Arial" w:cs="Arial"/>
          <w:b/>
        </w:rPr>
        <w:t>FOLLOW-ON</w:t>
      </w:r>
    </w:p>
    <w:p w:rsidR="00440B68" w:rsidRPr="00174DB5" w:rsidRDefault="00440B68" w:rsidP="00BA0946">
      <w:pPr>
        <w:spacing w:after="160" w:line="280" w:lineRule="exact"/>
        <w:rPr>
          <w:rFonts w:ascii="Arial" w:hAnsi="Arial" w:cs="Arial"/>
        </w:rPr>
      </w:pPr>
      <w:r w:rsidRPr="00174DB5">
        <w:rPr>
          <w:rFonts w:ascii="Arial" w:hAnsi="Arial" w:cs="Arial"/>
        </w:rPr>
        <w:t>In this case, the order must be issued on a sole-source basis, in the interest of economy and efﬁciency, because it is a logical follow-on to a TO already issued under the ProTech contract. This exception is available only if all awardees were given a fair opportunity to be considered for the original order. The following information must be provided: (a) reference to the prior TO under ProTech, (b) reference to the competition that was conducted under ProTech that resulted in the incumbent’s award, and (c) some evidence that the project is a continuation of ongoing efforts toward the same ends.</w:t>
      </w:r>
    </w:p>
    <w:p w:rsidR="00440B68" w:rsidRPr="00174DB5" w:rsidRDefault="00440B68" w:rsidP="00BA0946">
      <w:pPr>
        <w:spacing w:after="160" w:line="280" w:lineRule="exact"/>
        <w:rPr>
          <w:rFonts w:ascii="Arial" w:hAnsi="Arial" w:cs="Arial"/>
        </w:rPr>
      </w:pPr>
      <w:r w:rsidRPr="00174DB5">
        <w:rPr>
          <w:rFonts w:ascii="Arial" w:hAnsi="Arial" w:cs="Arial"/>
        </w:rPr>
        <w:t>Note: If the order is a follow-on to a TO that was not issued under ProTech, or is a</w:t>
      </w:r>
      <w:r w:rsidR="008E129F">
        <w:rPr>
          <w:rFonts w:ascii="Arial" w:hAnsi="Arial" w:cs="Arial"/>
        </w:rPr>
        <w:t>n</w:t>
      </w:r>
      <w:r w:rsidRPr="00174DB5">
        <w:rPr>
          <w:rFonts w:ascii="Arial" w:hAnsi="Arial" w:cs="Arial"/>
        </w:rPr>
        <w:t xml:space="preserve"> order for which the ProTech awardees were not given the opportunity to compete, this exception CANNOT be used.</w:t>
      </w:r>
    </w:p>
    <w:p w:rsidR="00440B68" w:rsidRPr="00174DB5" w:rsidRDefault="00440B68" w:rsidP="00BA0946">
      <w:pPr>
        <w:numPr>
          <w:ilvl w:val="0"/>
          <w:numId w:val="11"/>
        </w:numPr>
        <w:spacing w:line="280" w:lineRule="exact"/>
        <w:ind w:left="360"/>
        <w:contextualSpacing/>
        <w:rPr>
          <w:rFonts w:ascii="Arial" w:hAnsi="Arial" w:cs="Arial"/>
          <w:b/>
        </w:rPr>
      </w:pPr>
      <w:r w:rsidRPr="00174DB5">
        <w:rPr>
          <w:rFonts w:ascii="Arial" w:hAnsi="Arial" w:cs="Arial"/>
          <w:b/>
        </w:rPr>
        <w:t xml:space="preserve">GUARANTEED MINIMUM </w:t>
      </w:r>
    </w:p>
    <w:p w:rsidR="00440B68" w:rsidRPr="00174DB5" w:rsidRDefault="00440B68" w:rsidP="00BA0946">
      <w:pPr>
        <w:spacing w:after="160" w:line="280" w:lineRule="exact"/>
        <w:rPr>
          <w:rFonts w:ascii="Arial" w:hAnsi="Arial" w:cs="Arial"/>
        </w:rPr>
      </w:pPr>
      <w:r w:rsidRPr="00174DB5">
        <w:rPr>
          <w:rFonts w:ascii="Arial" w:hAnsi="Arial" w:cs="Arial"/>
        </w:rPr>
        <w:t>This exception applies when it is necessary to place an order to satisfy a minimum guarantee.</w:t>
      </w:r>
    </w:p>
    <w:p w:rsidR="00440B68" w:rsidRPr="00174DB5" w:rsidRDefault="00440B68" w:rsidP="00BA0946">
      <w:pPr>
        <w:numPr>
          <w:ilvl w:val="0"/>
          <w:numId w:val="11"/>
        </w:numPr>
        <w:spacing w:line="280" w:lineRule="exact"/>
        <w:ind w:left="360"/>
        <w:contextualSpacing/>
        <w:rPr>
          <w:rFonts w:ascii="Arial" w:hAnsi="Arial" w:cs="Arial"/>
          <w:b/>
        </w:rPr>
      </w:pPr>
      <w:r w:rsidRPr="00174DB5">
        <w:rPr>
          <w:rFonts w:ascii="Arial" w:hAnsi="Arial" w:cs="Arial"/>
          <w:b/>
        </w:rPr>
        <w:t xml:space="preserve">STATUTE REQUIREMENT/AUTHORIZATION </w:t>
      </w:r>
    </w:p>
    <w:p w:rsidR="00440B68" w:rsidRPr="00174DB5" w:rsidRDefault="00440B68" w:rsidP="00BA0946">
      <w:pPr>
        <w:spacing w:after="160" w:line="280" w:lineRule="exact"/>
        <w:rPr>
          <w:rFonts w:ascii="Arial" w:hAnsi="Arial" w:cs="Arial"/>
        </w:rPr>
      </w:pPr>
      <w:r w:rsidRPr="00174DB5">
        <w:rPr>
          <w:rFonts w:ascii="Arial" w:hAnsi="Arial" w:cs="Arial"/>
        </w:rPr>
        <w:t xml:space="preserve">This exception applies </w:t>
      </w:r>
      <w:r w:rsidRPr="00174DB5">
        <w:rPr>
          <w:rFonts w:ascii="Arial" w:hAnsi="Arial" w:cs="Arial"/>
          <w:spacing w:val="-1"/>
        </w:rPr>
        <w:t>where</w:t>
      </w:r>
      <w:r w:rsidRPr="00174DB5">
        <w:rPr>
          <w:rFonts w:ascii="Arial" w:hAnsi="Arial" w:cs="Arial"/>
          <w:spacing w:val="-7"/>
        </w:rPr>
        <w:t xml:space="preserve"> </w:t>
      </w:r>
      <w:r w:rsidRPr="00174DB5">
        <w:rPr>
          <w:rFonts w:ascii="Arial" w:hAnsi="Arial" w:cs="Arial"/>
          <w:spacing w:val="-1"/>
        </w:rPr>
        <w:t>TOs</w:t>
      </w:r>
      <w:r w:rsidRPr="00174DB5">
        <w:rPr>
          <w:rFonts w:ascii="Arial" w:hAnsi="Arial" w:cs="Arial"/>
          <w:spacing w:val="-7"/>
        </w:rPr>
        <w:t xml:space="preserve"> </w:t>
      </w:r>
      <w:r w:rsidRPr="00174DB5">
        <w:rPr>
          <w:rFonts w:ascii="Arial" w:hAnsi="Arial" w:cs="Arial"/>
          <w:spacing w:val="-1"/>
        </w:rPr>
        <w:t>exceeding</w:t>
      </w:r>
      <w:r w:rsidRPr="00174DB5">
        <w:rPr>
          <w:rFonts w:ascii="Arial" w:hAnsi="Arial" w:cs="Arial"/>
          <w:spacing w:val="-8"/>
        </w:rPr>
        <w:t xml:space="preserve"> </w:t>
      </w:r>
      <w:r w:rsidRPr="00174DB5">
        <w:rPr>
          <w:rFonts w:ascii="Arial" w:hAnsi="Arial" w:cs="Arial"/>
        </w:rPr>
        <w:t>the</w:t>
      </w:r>
      <w:r w:rsidRPr="00174DB5">
        <w:rPr>
          <w:rFonts w:ascii="Arial" w:hAnsi="Arial" w:cs="Arial"/>
          <w:spacing w:val="-7"/>
        </w:rPr>
        <w:t xml:space="preserve"> </w:t>
      </w:r>
      <w:r w:rsidRPr="00174DB5">
        <w:rPr>
          <w:rFonts w:ascii="Arial" w:hAnsi="Arial" w:cs="Arial"/>
        </w:rPr>
        <w:t>simplified</w:t>
      </w:r>
      <w:r w:rsidRPr="00174DB5">
        <w:rPr>
          <w:rFonts w:ascii="Arial" w:hAnsi="Arial" w:cs="Arial"/>
          <w:spacing w:val="-8"/>
        </w:rPr>
        <w:t xml:space="preserve"> </w:t>
      </w:r>
      <w:r w:rsidRPr="00174DB5">
        <w:rPr>
          <w:rFonts w:ascii="Arial" w:hAnsi="Arial" w:cs="Arial"/>
        </w:rPr>
        <w:t>acquisition</w:t>
      </w:r>
      <w:r w:rsidRPr="00174DB5">
        <w:rPr>
          <w:rFonts w:ascii="Arial" w:hAnsi="Arial" w:cs="Arial"/>
          <w:spacing w:val="-8"/>
        </w:rPr>
        <w:t xml:space="preserve"> </w:t>
      </w:r>
      <w:r w:rsidRPr="00174DB5">
        <w:rPr>
          <w:rFonts w:ascii="Arial" w:hAnsi="Arial" w:cs="Arial"/>
          <w:spacing w:val="-1"/>
        </w:rPr>
        <w:t>threshold,</w:t>
      </w:r>
      <w:r w:rsidRPr="00174DB5">
        <w:rPr>
          <w:rFonts w:ascii="Arial" w:hAnsi="Arial" w:cs="Arial"/>
          <w:spacing w:val="-6"/>
        </w:rPr>
        <w:t xml:space="preserve"> </w:t>
      </w:r>
      <w:r w:rsidRPr="00174DB5">
        <w:rPr>
          <w:rFonts w:ascii="Arial" w:hAnsi="Arial" w:cs="Arial"/>
        </w:rPr>
        <w:t>a</w:t>
      </w:r>
      <w:r w:rsidRPr="00174DB5">
        <w:rPr>
          <w:rFonts w:ascii="Arial" w:hAnsi="Arial" w:cs="Arial"/>
          <w:spacing w:val="-7"/>
        </w:rPr>
        <w:t xml:space="preserve"> </w:t>
      </w:r>
      <w:r w:rsidRPr="00174DB5">
        <w:rPr>
          <w:rFonts w:ascii="Arial" w:hAnsi="Arial" w:cs="Arial"/>
          <w:spacing w:val="-1"/>
        </w:rPr>
        <w:t>statute</w:t>
      </w:r>
      <w:r w:rsidRPr="00174DB5">
        <w:rPr>
          <w:rFonts w:ascii="Arial" w:hAnsi="Arial" w:cs="Arial"/>
          <w:spacing w:val="-6"/>
        </w:rPr>
        <w:t xml:space="preserve"> </w:t>
      </w:r>
      <w:r w:rsidRPr="00174DB5">
        <w:rPr>
          <w:rFonts w:ascii="Arial" w:hAnsi="Arial" w:cs="Arial"/>
        </w:rPr>
        <w:t>expressly</w:t>
      </w:r>
      <w:r w:rsidRPr="00174DB5">
        <w:rPr>
          <w:rFonts w:ascii="Arial" w:hAnsi="Arial" w:cs="Arial"/>
          <w:spacing w:val="-9"/>
        </w:rPr>
        <w:t xml:space="preserve"> </w:t>
      </w:r>
      <w:r w:rsidRPr="00174DB5">
        <w:rPr>
          <w:rFonts w:ascii="Arial" w:hAnsi="Arial" w:cs="Arial"/>
          <w:spacing w:val="-1"/>
        </w:rPr>
        <w:t>authorizes</w:t>
      </w:r>
      <w:r w:rsidRPr="00174DB5">
        <w:rPr>
          <w:rFonts w:ascii="Arial" w:hAnsi="Arial" w:cs="Arial"/>
          <w:spacing w:val="-7"/>
        </w:rPr>
        <w:t xml:space="preserve"> </w:t>
      </w:r>
      <w:r w:rsidRPr="00174DB5">
        <w:rPr>
          <w:rFonts w:ascii="Arial" w:hAnsi="Arial" w:cs="Arial"/>
          <w:spacing w:val="-1"/>
        </w:rPr>
        <w:t>or</w:t>
      </w:r>
      <w:r w:rsidRPr="00174DB5">
        <w:rPr>
          <w:rFonts w:ascii="Arial" w:hAnsi="Arial" w:cs="Arial"/>
          <w:spacing w:val="80"/>
          <w:w w:val="99"/>
        </w:rPr>
        <w:t xml:space="preserve"> </w:t>
      </w:r>
      <w:r w:rsidRPr="00174DB5">
        <w:rPr>
          <w:rFonts w:ascii="Arial" w:hAnsi="Arial" w:cs="Arial"/>
          <w:spacing w:val="-1"/>
        </w:rPr>
        <w:t>requires</w:t>
      </w:r>
      <w:r w:rsidRPr="00174DB5">
        <w:rPr>
          <w:rFonts w:ascii="Arial" w:hAnsi="Arial" w:cs="Arial"/>
          <w:spacing w:val="-6"/>
        </w:rPr>
        <w:t xml:space="preserve"> </w:t>
      </w:r>
      <w:r w:rsidRPr="00174DB5">
        <w:rPr>
          <w:rFonts w:ascii="Arial" w:hAnsi="Arial" w:cs="Arial"/>
        </w:rPr>
        <w:t>that</w:t>
      </w:r>
      <w:r w:rsidRPr="00174DB5">
        <w:rPr>
          <w:rFonts w:ascii="Arial" w:hAnsi="Arial" w:cs="Arial"/>
          <w:spacing w:val="-4"/>
        </w:rPr>
        <w:t xml:space="preserve"> </w:t>
      </w:r>
      <w:r w:rsidRPr="00174DB5">
        <w:rPr>
          <w:rFonts w:ascii="Arial" w:hAnsi="Arial" w:cs="Arial"/>
          <w:spacing w:val="-1"/>
        </w:rPr>
        <w:t>the</w:t>
      </w:r>
      <w:r w:rsidRPr="00174DB5">
        <w:rPr>
          <w:rFonts w:ascii="Arial" w:hAnsi="Arial" w:cs="Arial"/>
          <w:spacing w:val="-4"/>
        </w:rPr>
        <w:t xml:space="preserve"> </w:t>
      </w:r>
      <w:r w:rsidRPr="00174DB5">
        <w:rPr>
          <w:rFonts w:ascii="Arial" w:hAnsi="Arial" w:cs="Arial"/>
          <w:spacing w:val="-1"/>
        </w:rPr>
        <w:t>purchase</w:t>
      </w:r>
      <w:r w:rsidRPr="00174DB5">
        <w:rPr>
          <w:rFonts w:ascii="Arial" w:hAnsi="Arial" w:cs="Arial"/>
          <w:spacing w:val="-4"/>
        </w:rPr>
        <w:t xml:space="preserve"> </w:t>
      </w:r>
      <w:r w:rsidRPr="00174DB5">
        <w:rPr>
          <w:rFonts w:ascii="Arial" w:hAnsi="Arial" w:cs="Arial"/>
          <w:spacing w:val="-1"/>
        </w:rPr>
        <w:t>be</w:t>
      </w:r>
      <w:r w:rsidRPr="00174DB5">
        <w:rPr>
          <w:rFonts w:ascii="Arial" w:hAnsi="Arial" w:cs="Arial"/>
          <w:spacing w:val="-6"/>
        </w:rPr>
        <w:t xml:space="preserve"> </w:t>
      </w:r>
      <w:r w:rsidRPr="00174DB5">
        <w:rPr>
          <w:rFonts w:ascii="Arial" w:hAnsi="Arial" w:cs="Arial"/>
        </w:rPr>
        <w:t>made</w:t>
      </w:r>
      <w:r w:rsidRPr="00174DB5">
        <w:rPr>
          <w:rFonts w:ascii="Arial" w:hAnsi="Arial" w:cs="Arial"/>
          <w:spacing w:val="-6"/>
        </w:rPr>
        <w:t xml:space="preserve"> </w:t>
      </w:r>
      <w:r w:rsidRPr="00174DB5">
        <w:rPr>
          <w:rFonts w:ascii="Arial" w:hAnsi="Arial" w:cs="Arial"/>
          <w:spacing w:val="-1"/>
        </w:rPr>
        <w:t>from</w:t>
      </w:r>
      <w:r w:rsidRPr="00174DB5">
        <w:rPr>
          <w:rFonts w:ascii="Arial" w:hAnsi="Arial" w:cs="Arial"/>
          <w:spacing w:val="-2"/>
        </w:rPr>
        <w:t xml:space="preserve"> </w:t>
      </w:r>
      <w:r w:rsidRPr="00174DB5">
        <w:rPr>
          <w:rFonts w:ascii="Arial" w:hAnsi="Arial" w:cs="Arial"/>
        </w:rPr>
        <w:t>a</w:t>
      </w:r>
      <w:r w:rsidRPr="00174DB5">
        <w:rPr>
          <w:rFonts w:ascii="Arial" w:hAnsi="Arial" w:cs="Arial"/>
          <w:spacing w:val="-6"/>
        </w:rPr>
        <w:t xml:space="preserve"> </w:t>
      </w:r>
      <w:r w:rsidRPr="00174DB5">
        <w:rPr>
          <w:rFonts w:ascii="Arial" w:hAnsi="Arial" w:cs="Arial"/>
          <w:spacing w:val="-1"/>
        </w:rPr>
        <w:t>specified</w:t>
      </w:r>
      <w:r w:rsidRPr="00174DB5">
        <w:rPr>
          <w:rFonts w:ascii="Arial" w:hAnsi="Arial" w:cs="Arial"/>
          <w:spacing w:val="-6"/>
        </w:rPr>
        <w:t xml:space="preserve"> </w:t>
      </w:r>
      <w:r w:rsidRPr="00174DB5">
        <w:rPr>
          <w:rFonts w:ascii="Arial" w:hAnsi="Arial" w:cs="Arial"/>
        </w:rPr>
        <w:t>source.</w:t>
      </w:r>
      <w:r w:rsidRPr="00174DB5">
        <w:rPr>
          <w:rFonts w:ascii="Arial" w:hAnsi="Arial" w:cs="Arial"/>
          <w:spacing w:val="-6"/>
        </w:rPr>
        <w:t xml:space="preserve"> </w:t>
      </w:r>
    </w:p>
    <w:p w:rsidR="00440B68" w:rsidRPr="00174DB5" w:rsidRDefault="00440B68" w:rsidP="00E14258">
      <w:pPr>
        <w:numPr>
          <w:ilvl w:val="0"/>
          <w:numId w:val="11"/>
        </w:numPr>
        <w:spacing w:after="240" w:line="280" w:lineRule="exact"/>
        <w:ind w:left="360"/>
        <w:contextualSpacing/>
        <w:rPr>
          <w:rFonts w:ascii="Arial" w:hAnsi="Arial" w:cs="Arial"/>
          <w:b/>
        </w:rPr>
      </w:pPr>
      <w:r w:rsidRPr="00174DB5">
        <w:rPr>
          <w:rFonts w:ascii="Arial" w:hAnsi="Arial" w:cs="Arial"/>
          <w:b/>
        </w:rPr>
        <w:t xml:space="preserve">SMALL BUSINESS SET ASIDE </w:t>
      </w:r>
    </w:p>
    <w:p w:rsidR="00440B68" w:rsidRPr="00174DB5" w:rsidRDefault="00440B68" w:rsidP="00BA0946">
      <w:pPr>
        <w:widowControl w:val="0"/>
        <w:tabs>
          <w:tab w:val="left" w:pos="1001"/>
        </w:tabs>
        <w:spacing w:after="0" w:line="280" w:lineRule="exact"/>
        <w:ind w:right="298"/>
        <w:rPr>
          <w:rFonts w:ascii="Arial" w:hAnsi="Arial" w:cs="Arial"/>
        </w:rPr>
      </w:pPr>
      <w:r w:rsidRPr="00174DB5">
        <w:rPr>
          <w:rFonts w:ascii="Arial" w:hAnsi="Arial" w:cs="Arial"/>
          <w:spacing w:val="-1"/>
        </w:rPr>
        <w:t>In</w:t>
      </w:r>
      <w:r w:rsidRPr="00174DB5">
        <w:rPr>
          <w:rFonts w:ascii="Arial" w:hAnsi="Arial" w:cs="Arial"/>
          <w:spacing w:val="-7"/>
        </w:rPr>
        <w:t xml:space="preserve"> </w:t>
      </w:r>
      <w:r w:rsidRPr="00174DB5">
        <w:rPr>
          <w:rFonts w:ascii="Arial" w:hAnsi="Arial" w:cs="Arial"/>
        </w:rPr>
        <w:t>accordance</w:t>
      </w:r>
      <w:r w:rsidRPr="00174DB5">
        <w:rPr>
          <w:rFonts w:ascii="Arial" w:hAnsi="Arial" w:cs="Arial"/>
          <w:spacing w:val="-5"/>
        </w:rPr>
        <w:t xml:space="preserve"> </w:t>
      </w:r>
      <w:r w:rsidRPr="00174DB5">
        <w:rPr>
          <w:rFonts w:ascii="Arial" w:hAnsi="Arial" w:cs="Arial"/>
          <w:spacing w:val="-1"/>
        </w:rPr>
        <w:t>with</w:t>
      </w:r>
      <w:r w:rsidRPr="00174DB5">
        <w:rPr>
          <w:rFonts w:ascii="Arial" w:hAnsi="Arial" w:cs="Arial"/>
          <w:spacing w:val="-7"/>
        </w:rPr>
        <w:t xml:space="preserve"> </w:t>
      </w:r>
      <w:r w:rsidRPr="00174DB5">
        <w:rPr>
          <w:rFonts w:ascii="Arial" w:hAnsi="Arial" w:cs="Arial"/>
        </w:rPr>
        <w:t>section</w:t>
      </w:r>
      <w:r w:rsidRPr="00174DB5">
        <w:rPr>
          <w:rFonts w:ascii="Arial" w:hAnsi="Arial" w:cs="Arial"/>
          <w:spacing w:val="-5"/>
        </w:rPr>
        <w:t xml:space="preserve"> </w:t>
      </w:r>
      <w:r w:rsidRPr="00174DB5">
        <w:rPr>
          <w:rFonts w:ascii="Arial" w:hAnsi="Arial" w:cs="Arial"/>
          <w:spacing w:val="-1"/>
        </w:rPr>
        <w:t>1331</w:t>
      </w:r>
      <w:r w:rsidRPr="00174DB5">
        <w:rPr>
          <w:rFonts w:ascii="Arial" w:hAnsi="Arial" w:cs="Arial"/>
          <w:spacing w:val="-5"/>
        </w:rPr>
        <w:t xml:space="preserve"> </w:t>
      </w:r>
      <w:r w:rsidRPr="00174DB5">
        <w:rPr>
          <w:rFonts w:ascii="Arial" w:hAnsi="Arial" w:cs="Arial"/>
          <w:spacing w:val="-1"/>
        </w:rPr>
        <w:t>of</w:t>
      </w:r>
      <w:r w:rsidRPr="00174DB5">
        <w:rPr>
          <w:rFonts w:ascii="Arial" w:hAnsi="Arial" w:cs="Arial"/>
          <w:spacing w:val="-5"/>
        </w:rPr>
        <w:t xml:space="preserve"> </w:t>
      </w:r>
      <w:r w:rsidRPr="00174DB5">
        <w:rPr>
          <w:rFonts w:ascii="Arial" w:hAnsi="Arial" w:cs="Arial"/>
        </w:rPr>
        <w:t>Public</w:t>
      </w:r>
      <w:r w:rsidRPr="00174DB5">
        <w:rPr>
          <w:rFonts w:ascii="Arial" w:hAnsi="Arial" w:cs="Arial"/>
          <w:spacing w:val="-6"/>
        </w:rPr>
        <w:t xml:space="preserve"> </w:t>
      </w:r>
      <w:r w:rsidRPr="00174DB5">
        <w:rPr>
          <w:rFonts w:ascii="Arial" w:hAnsi="Arial" w:cs="Arial"/>
        </w:rPr>
        <w:t>Law</w:t>
      </w:r>
      <w:r w:rsidRPr="00174DB5">
        <w:rPr>
          <w:rFonts w:ascii="Arial" w:hAnsi="Arial" w:cs="Arial"/>
          <w:spacing w:val="-7"/>
        </w:rPr>
        <w:t xml:space="preserve"> </w:t>
      </w:r>
      <w:r w:rsidRPr="00174DB5">
        <w:rPr>
          <w:rFonts w:ascii="Arial" w:hAnsi="Arial" w:cs="Arial"/>
        </w:rPr>
        <w:t>111-240</w:t>
      </w:r>
      <w:r w:rsidRPr="00174DB5">
        <w:rPr>
          <w:rFonts w:ascii="Arial" w:hAnsi="Arial" w:cs="Arial"/>
          <w:spacing w:val="-6"/>
        </w:rPr>
        <w:t xml:space="preserve"> </w:t>
      </w:r>
      <w:r w:rsidRPr="00174DB5">
        <w:rPr>
          <w:rFonts w:ascii="Arial" w:hAnsi="Arial" w:cs="Arial"/>
          <w:spacing w:val="-1"/>
        </w:rPr>
        <w:t>(</w:t>
      </w:r>
      <w:hyperlink r:id="rId7">
        <w:r w:rsidRPr="00174DB5">
          <w:rPr>
            <w:rFonts w:ascii="Arial" w:hAnsi="Arial" w:cs="Arial"/>
            <w:spacing w:val="-1"/>
            <w:u w:val="single" w:color="000000"/>
          </w:rPr>
          <w:t>15</w:t>
        </w:r>
        <w:r w:rsidRPr="00174DB5">
          <w:rPr>
            <w:rFonts w:ascii="Arial" w:hAnsi="Arial" w:cs="Arial"/>
            <w:spacing w:val="-8"/>
            <w:u w:val="single" w:color="000000"/>
          </w:rPr>
          <w:t xml:space="preserve"> </w:t>
        </w:r>
        <w:r w:rsidRPr="00174DB5">
          <w:rPr>
            <w:rFonts w:ascii="Arial" w:hAnsi="Arial" w:cs="Arial"/>
            <w:u w:val="single" w:color="000000"/>
          </w:rPr>
          <w:t>U.S.C.</w:t>
        </w:r>
        <w:r w:rsidRPr="00174DB5">
          <w:rPr>
            <w:rFonts w:ascii="Arial" w:hAnsi="Arial" w:cs="Arial"/>
            <w:spacing w:val="-7"/>
            <w:u w:val="single" w:color="000000"/>
          </w:rPr>
          <w:t xml:space="preserve"> </w:t>
        </w:r>
        <w:r w:rsidRPr="00174DB5">
          <w:rPr>
            <w:rFonts w:ascii="Arial" w:hAnsi="Arial" w:cs="Arial"/>
            <w:u w:val="single" w:color="000000"/>
          </w:rPr>
          <w:t>644</w:t>
        </w:r>
      </w:hyperlink>
      <w:r w:rsidRPr="00174DB5">
        <w:rPr>
          <w:rFonts w:ascii="Arial" w:hAnsi="Arial" w:cs="Arial"/>
        </w:rPr>
        <w:t>(r)),</w:t>
      </w:r>
      <w:r w:rsidRPr="00174DB5">
        <w:rPr>
          <w:rFonts w:ascii="Arial" w:hAnsi="Arial" w:cs="Arial"/>
          <w:spacing w:val="-7"/>
        </w:rPr>
        <w:t xml:space="preserve"> </w:t>
      </w:r>
      <w:r w:rsidRPr="00174DB5">
        <w:rPr>
          <w:rFonts w:ascii="Arial" w:hAnsi="Arial" w:cs="Arial"/>
          <w:spacing w:val="-1"/>
        </w:rPr>
        <w:t>contracting</w:t>
      </w:r>
      <w:r w:rsidRPr="00174DB5">
        <w:rPr>
          <w:rFonts w:ascii="Arial" w:hAnsi="Arial" w:cs="Arial"/>
          <w:spacing w:val="-5"/>
        </w:rPr>
        <w:t xml:space="preserve"> </w:t>
      </w:r>
      <w:r w:rsidRPr="00174DB5">
        <w:rPr>
          <w:rFonts w:ascii="Arial" w:hAnsi="Arial" w:cs="Arial"/>
        </w:rPr>
        <w:t>officers</w:t>
      </w:r>
      <w:r w:rsidRPr="00174DB5">
        <w:rPr>
          <w:rFonts w:ascii="Arial" w:hAnsi="Arial" w:cs="Arial"/>
          <w:spacing w:val="41"/>
          <w:w w:val="99"/>
        </w:rPr>
        <w:t xml:space="preserve"> </w:t>
      </w:r>
      <w:r w:rsidRPr="00174DB5">
        <w:rPr>
          <w:rFonts w:ascii="Arial" w:hAnsi="Arial" w:cs="Arial"/>
          <w:spacing w:val="-1"/>
        </w:rPr>
        <w:t>may,</w:t>
      </w:r>
      <w:r w:rsidRPr="00174DB5">
        <w:rPr>
          <w:rFonts w:ascii="Arial" w:hAnsi="Arial" w:cs="Arial"/>
          <w:spacing w:val="-6"/>
        </w:rPr>
        <w:t xml:space="preserve"> </w:t>
      </w:r>
      <w:r w:rsidRPr="00174DB5">
        <w:rPr>
          <w:rFonts w:ascii="Arial" w:hAnsi="Arial" w:cs="Arial"/>
          <w:spacing w:val="-1"/>
        </w:rPr>
        <w:t>at</w:t>
      </w:r>
      <w:r w:rsidRPr="00174DB5">
        <w:rPr>
          <w:rFonts w:ascii="Arial" w:hAnsi="Arial" w:cs="Arial"/>
          <w:spacing w:val="-4"/>
        </w:rPr>
        <w:t xml:space="preserve"> </w:t>
      </w:r>
      <w:r w:rsidRPr="00174DB5">
        <w:rPr>
          <w:rFonts w:ascii="Arial" w:hAnsi="Arial" w:cs="Arial"/>
          <w:spacing w:val="-1"/>
        </w:rPr>
        <w:t>their</w:t>
      </w:r>
      <w:r w:rsidRPr="00174DB5">
        <w:rPr>
          <w:rFonts w:ascii="Arial" w:hAnsi="Arial" w:cs="Arial"/>
          <w:spacing w:val="-5"/>
        </w:rPr>
        <w:t xml:space="preserve"> </w:t>
      </w:r>
      <w:r w:rsidRPr="00174DB5">
        <w:rPr>
          <w:rFonts w:ascii="Arial" w:hAnsi="Arial" w:cs="Arial"/>
        </w:rPr>
        <w:t>discretion,</w:t>
      </w:r>
      <w:r w:rsidRPr="00174DB5">
        <w:rPr>
          <w:rFonts w:ascii="Arial" w:hAnsi="Arial" w:cs="Arial"/>
          <w:spacing w:val="-6"/>
        </w:rPr>
        <w:t xml:space="preserve"> </w:t>
      </w:r>
      <w:r w:rsidRPr="00174DB5">
        <w:rPr>
          <w:rFonts w:ascii="Arial" w:hAnsi="Arial" w:cs="Arial"/>
        </w:rPr>
        <w:t>set</w:t>
      </w:r>
      <w:r w:rsidRPr="00174DB5">
        <w:rPr>
          <w:rFonts w:ascii="Arial" w:hAnsi="Arial" w:cs="Arial"/>
          <w:spacing w:val="-4"/>
        </w:rPr>
        <w:t xml:space="preserve"> </w:t>
      </w:r>
      <w:r w:rsidRPr="00174DB5">
        <w:rPr>
          <w:rFonts w:ascii="Arial" w:hAnsi="Arial" w:cs="Arial"/>
          <w:spacing w:val="-1"/>
        </w:rPr>
        <w:t>aside</w:t>
      </w:r>
      <w:r w:rsidRPr="00174DB5">
        <w:rPr>
          <w:rFonts w:ascii="Arial" w:hAnsi="Arial" w:cs="Arial"/>
          <w:spacing w:val="-4"/>
        </w:rPr>
        <w:t xml:space="preserve"> </w:t>
      </w:r>
      <w:r w:rsidRPr="00174DB5">
        <w:rPr>
          <w:rFonts w:ascii="Arial" w:hAnsi="Arial" w:cs="Arial"/>
          <w:spacing w:val="-1"/>
        </w:rPr>
        <w:t>orders</w:t>
      </w:r>
      <w:r w:rsidRPr="00174DB5">
        <w:rPr>
          <w:rFonts w:ascii="Arial" w:hAnsi="Arial" w:cs="Arial"/>
          <w:spacing w:val="-4"/>
        </w:rPr>
        <w:t xml:space="preserve"> </w:t>
      </w:r>
      <w:r w:rsidRPr="00174DB5">
        <w:rPr>
          <w:rFonts w:ascii="Arial" w:hAnsi="Arial" w:cs="Arial"/>
        </w:rPr>
        <w:t>for</w:t>
      </w:r>
      <w:r w:rsidRPr="00174DB5">
        <w:rPr>
          <w:rFonts w:ascii="Arial" w:hAnsi="Arial" w:cs="Arial"/>
          <w:spacing w:val="-5"/>
        </w:rPr>
        <w:t xml:space="preserve"> </w:t>
      </w:r>
      <w:r w:rsidRPr="00174DB5">
        <w:rPr>
          <w:rFonts w:ascii="Arial" w:hAnsi="Arial" w:cs="Arial"/>
          <w:spacing w:val="1"/>
        </w:rPr>
        <w:t>any</w:t>
      </w:r>
      <w:r w:rsidRPr="00174DB5">
        <w:rPr>
          <w:rFonts w:ascii="Arial" w:hAnsi="Arial" w:cs="Arial"/>
          <w:spacing w:val="-9"/>
        </w:rPr>
        <w:t xml:space="preserve"> </w:t>
      </w:r>
      <w:r w:rsidRPr="00174DB5">
        <w:rPr>
          <w:rFonts w:ascii="Arial" w:hAnsi="Arial" w:cs="Arial"/>
          <w:spacing w:val="-1"/>
        </w:rPr>
        <w:t>of</w:t>
      </w:r>
      <w:r w:rsidRPr="00174DB5">
        <w:rPr>
          <w:rFonts w:ascii="Arial" w:hAnsi="Arial" w:cs="Arial"/>
          <w:spacing w:val="-4"/>
        </w:rPr>
        <w:t xml:space="preserve"> </w:t>
      </w:r>
      <w:r w:rsidRPr="00174DB5">
        <w:rPr>
          <w:rFonts w:ascii="Arial" w:hAnsi="Arial" w:cs="Arial"/>
          <w:spacing w:val="-1"/>
        </w:rPr>
        <w:t>the</w:t>
      </w:r>
      <w:r w:rsidRPr="00174DB5">
        <w:rPr>
          <w:rFonts w:ascii="Arial" w:hAnsi="Arial" w:cs="Arial"/>
          <w:spacing w:val="-4"/>
        </w:rPr>
        <w:t xml:space="preserve"> </w:t>
      </w:r>
      <w:r w:rsidRPr="00174DB5">
        <w:rPr>
          <w:rFonts w:ascii="Arial" w:hAnsi="Arial" w:cs="Arial"/>
        </w:rPr>
        <w:t>small</w:t>
      </w:r>
      <w:r w:rsidRPr="00174DB5">
        <w:rPr>
          <w:rFonts w:ascii="Arial" w:hAnsi="Arial" w:cs="Arial"/>
          <w:spacing w:val="-6"/>
        </w:rPr>
        <w:t xml:space="preserve"> </w:t>
      </w:r>
      <w:r w:rsidRPr="00174DB5">
        <w:rPr>
          <w:rFonts w:ascii="Arial" w:hAnsi="Arial" w:cs="Arial"/>
          <w:spacing w:val="-1"/>
        </w:rPr>
        <w:t>business</w:t>
      </w:r>
      <w:r w:rsidRPr="00174DB5">
        <w:rPr>
          <w:rFonts w:ascii="Arial" w:hAnsi="Arial" w:cs="Arial"/>
          <w:spacing w:val="-5"/>
        </w:rPr>
        <w:t xml:space="preserve"> </w:t>
      </w:r>
      <w:r w:rsidRPr="00174DB5">
        <w:rPr>
          <w:rFonts w:ascii="Arial" w:hAnsi="Arial" w:cs="Arial"/>
          <w:spacing w:val="-1"/>
        </w:rPr>
        <w:t>concerns</w:t>
      </w:r>
      <w:r w:rsidRPr="00174DB5">
        <w:rPr>
          <w:rFonts w:ascii="Arial" w:hAnsi="Arial" w:cs="Arial"/>
          <w:spacing w:val="-2"/>
        </w:rPr>
        <w:t xml:space="preserve"> </w:t>
      </w:r>
      <w:r w:rsidRPr="00174DB5">
        <w:rPr>
          <w:rFonts w:ascii="Arial" w:hAnsi="Arial" w:cs="Arial"/>
        </w:rPr>
        <w:t>identified</w:t>
      </w:r>
      <w:r w:rsidRPr="00174DB5">
        <w:rPr>
          <w:rFonts w:ascii="Arial" w:hAnsi="Arial" w:cs="Arial"/>
          <w:spacing w:val="-6"/>
        </w:rPr>
        <w:t xml:space="preserve"> </w:t>
      </w:r>
      <w:r w:rsidRPr="00174DB5">
        <w:rPr>
          <w:rFonts w:ascii="Arial" w:hAnsi="Arial" w:cs="Arial"/>
        </w:rPr>
        <w:t>in</w:t>
      </w:r>
      <w:r w:rsidRPr="00174DB5">
        <w:rPr>
          <w:rFonts w:ascii="Arial" w:hAnsi="Arial" w:cs="Arial"/>
          <w:w w:val="99"/>
        </w:rPr>
        <w:t xml:space="preserve"> </w:t>
      </w:r>
      <w:hyperlink r:id="rId8" w:anchor="wp1101780">
        <w:r w:rsidRPr="00174DB5">
          <w:rPr>
            <w:rFonts w:ascii="Arial" w:hAnsi="Arial" w:cs="Arial"/>
            <w:spacing w:val="-1"/>
            <w:u w:val="single" w:color="000000"/>
          </w:rPr>
          <w:t>19.000</w:t>
        </w:r>
      </w:hyperlink>
      <w:r w:rsidRPr="00174DB5">
        <w:rPr>
          <w:rFonts w:ascii="Arial" w:hAnsi="Arial" w:cs="Arial"/>
          <w:spacing w:val="-1"/>
        </w:rPr>
        <w:t>(a)(3).</w:t>
      </w:r>
      <w:r w:rsidRPr="00174DB5">
        <w:rPr>
          <w:rFonts w:ascii="Arial" w:hAnsi="Arial" w:cs="Arial"/>
          <w:spacing w:val="-10"/>
        </w:rPr>
        <w:t xml:space="preserve"> </w:t>
      </w:r>
      <w:r w:rsidRPr="00174DB5">
        <w:rPr>
          <w:rFonts w:ascii="Arial" w:hAnsi="Arial" w:cs="Arial"/>
          <w:spacing w:val="1"/>
        </w:rPr>
        <w:t>When</w:t>
      </w:r>
      <w:r w:rsidRPr="00174DB5">
        <w:rPr>
          <w:rFonts w:ascii="Arial" w:hAnsi="Arial" w:cs="Arial"/>
          <w:spacing w:val="-7"/>
        </w:rPr>
        <w:t xml:space="preserve"> </w:t>
      </w:r>
      <w:r w:rsidRPr="00174DB5">
        <w:rPr>
          <w:rFonts w:ascii="Arial" w:hAnsi="Arial" w:cs="Arial"/>
          <w:spacing w:val="-1"/>
        </w:rPr>
        <w:t>setting</w:t>
      </w:r>
      <w:r w:rsidRPr="00174DB5">
        <w:rPr>
          <w:rFonts w:ascii="Arial" w:hAnsi="Arial" w:cs="Arial"/>
          <w:spacing w:val="-6"/>
        </w:rPr>
        <w:t xml:space="preserve"> </w:t>
      </w:r>
      <w:r w:rsidRPr="00174DB5">
        <w:rPr>
          <w:rFonts w:ascii="Arial" w:hAnsi="Arial" w:cs="Arial"/>
          <w:spacing w:val="-1"/>
        </w:rPr>
        <w:t>aside</w:t>
      </w:r>
      <w:r w:rsidRPr="00174DB5">
        <w:rPr>
          <w:rFonts w:ascii="Arial" w:hAnsi="Arial" w:cs="Arial"/>
          <w:spacing w:val="-5"/>
        </w:rPr>
        <w:t xml:space="preserve"> </w:t>
      </w:r>
      <w:r w:rsidRPr="00174DB5">
        <w:rPr>
          <w:rFonts w:ascii="Arial" w:hAnsi="Arial" w:cs="Arial"/>
          <w:spacing w:val="-1"/>
        </w:rPr>
        <w:t>orders</w:t>
      </w:r>
      <w:r w:rsidRPr="00174DB5">
        <w:rPr>
          <w:rFonts w:ascii="Arial" w:hAnsi="Arial" w:cs="Arial"/>
          <w:spacing w:val="-7"/>
        </w:rPr>
        <w:t xml:space="preserve"> </w:t>
      </w:r>
      <w:r w:rsidRPr="00174DB5">
        <w:rPr>
          <w:rFonts w:ascii="Arial" w:hAnsi="Arial" w:cs="Arial"/>
        </w:rPr>
        <w:t>for</w:t>
      </w:r>
      <w:r w:rsidRPr="00174DB5">
        <w:rPr>
          <w:rFonts w:ascii="Arial" w:hAnsi="Arial" w:cs="Arial"/>
          <w:spacing w:val="-6"/>
        </w:rPr>
        <w:t xml:space="preserve"> </w:t>
      </w:r>
      <w:r w:rsidRPr="00174DB5">
        <w:rPr>
          <w:rFonts w:ascii="Arial" w:hAnsi="Arial" w:cs="Arial"/>
          <w:spacing w:val="-1"/>
        </w:rPr>
        <w:t>small</w:t>
      </w:r>
      <w:r w:rsidRPr="00174DB5">
        <w:rPr>
          <w:rFonts w:ascii="Arial" w:hAnsi="Arial" w:cs="Arial"/>
          <w:spacing w:val="-9"/>
        </w:rPr>
        <w:t xml:space="preserve"> </w:t>
      </w:r>
      <w:r w:rsidRPr="00174DB5">
        <w:rPr>
          <w:rFonts w:ascii="Arial" w:hAnsi="Arial" w:cs="Arial"/>
        </w:rPr>
        <w:t>business</w:t>
      </w:r>
      <w:r w:rsidRPr="00174DB5">
        <w:rPr>
          <w:rFonts w:ascii="Arial" w:hAnsi="Arial" w:cs="Arial"/>
          <w:spacing w:val="-6"/>
        </w:rPr>
        <w:t xml:space="preserve"> </w:t>
      </w:r>
      <w:r w:rsidRPr="00174DB5">
        <w:rPr>
          <w:rFonts w:ascii="Arial" w:hAnsi="Arial" w:cs="Arial"/>
          <w:spacing w:val="-1"/>
        </w:rPr>
        <w:t>concerns,</w:t>
      </w:r>
      <w:r w:rsidRPr="00174DB5">
        <w:rPr>
          <w:rFonts w:ascii="Arial" w:hAnsi="Arial" w:cs="Arial"/>
          <w:spacing w:val="-7"/>
        </w:rPr>
        <w:t xml:space="preserve"> </w:t>
      </w:r>
      <w:r w:rsidRPr="00174DB5">
        <w:rPr>
          <w:rFonts w:ascii="Arial" w:hAnsi="Arial" w:cs="Arial"/>
          <w:spacing w:val="-1"/>
        </w:rPr>
        <w:t>the</w:t>
      </w:r>
      <w:r w:rsidRPr="00174DB5">
        <w:rPr>
          <w:rFonts w:ascii="Arial" w:hAnsi="Arial" w:cs="Arial"/>
          <w:spacing w:val="-8"/>
        </w:rPr>
        <w:t xml:space="preserve"> </w:t>
      </w:r>
      <w:r w:rsidRPr="00174DB5">
        <w:rPr>
          <w:rFonts w:ascii="Arial" w:hAnsi="Arial" w:cs="Arial"/>
        </w:rPr>
        <w:t>specific</w:t>
      </w:r>
      <w:r w:rsidRPr="00174DB5">
        <w:rPr>
          <w:rFonts w:ascii="Arial" w:hAnsi="Arial" w:cs="Arial"/>
          <w:spacing w:val="-6"/>
        </w:rPr>
        <w:t xml:space="preserve"> </w:t>
      </w:r>
      <w:r w:rsidRPr="00174DB5">
        <w:rPr>
          <w:rFonts w:ascii="Arial" w:hAnsi="Arial" w:cs="Arial"/>
        </w:rPr>
        <w:t>small</w:t>
      </w:r>
      <w:r w:rsidR="00780C15">
        <w:rPr>
          <w:rFonts w:ascii="Arial" w:hAnsi="Arial" w:cs="Arial"/>
          <w:spacing w:val="83"/>
          <w:w w:val="99"/>
        </w:rPr>
        <w:t xml:space="preserve"> </w:t>
      </w:r>
      <w:r w:rsidRPr="00174DB5">
        <w:rPr>
          <w:rFonts w:ascii="Arial" w:hAnsi="Arial" w:cs="Arial"/>
          <w:spacing w:val="-1"/>
        </w:rPr>
        <w:t>business</w:t>
      </w:r>
      <w:r w:rsidRPr="00174DB5">
        <w:rPr>
          <w:rFonts w:ascii="Arial" w:hAnsi="Arial" w:cs="Arial"/>
          <w:spacing w:val="-7"/>
        </w:rPr>
        <w:t xml:space="preserve"> </w:t>
      </w:r>
      <w:r w:rsidRPr="00174DB5">
        <w:rPr>
          <w:rFonts w:ascii="Arial" w:hAnsi="Arial" w:cs="Arial"/>
          <w:spacing w:val="-1"/>
        </w:rPr>
        <w:t>program</w:t>
      </w:r>
      <w:r w:rsidRPr="00174DB5">
        <w:rPr>
          <w:rFonts w:ascii="Arial" w:hAnsi="Arial" w:cs="Arial"/>
          <w:spacing w:val="-3"/>
        </w:rPr>
        <w:t xml:space="preserve"> </w:t>
      </w:r>
      <w:r w:rsidRPr="00174DB5">
        <w:rPr>
          <w:rFonts w:ascii="Arial" w:hAnsi="Arial" w:cs="Arial"/>
        </w:rPr>
        <w:t>eligibility</w:t>
      </w:r>
      <w:r w:rsidRPr="00174DB5">
        <w:rPr>
          <w:rFonts w:ascii="Arial" w:hAnsi="Arial" w:cs="Arial"/>
          <w:spacing w:val="-9"/>
        </w:rPr>
        <w:t xml:space="preserve"> </w:t>
      </w:r>
      <w:r w:rsidRPr="00174DB5">
        <w:rPr>
          <w:rFonts w:ascii="Arial" w:hAnsi="Arial" w:cs="Arial"/>
          <w:spacing w:val="-1"/>
        </w:rPr>
        <w:t>requirements</w:t>
      </w:r>
      <w:r w:rsidRPr="00174DB5">
        <w:rPr>
          <w:rFonts w:ascii="Arial" w:hAnsi="Arial" w:cs="Arial"/>
          <w:spacing w:val="-7"/>
        </w:rPr>
        <w:t xml:space="preserve"> </w:t>
      </w:r>
      <w:r w:rsidRPr="00174DB5">
        <w:rPr>
          <w:rFonts w:ascii="Arial" w:hAnsi="Arial" w:cs="Arial"/>
          <w:spacing w:val="-1"/>
        </w:rPr>
        <w:t>identified</w:t>
      </w:r>
      <w:r w:rsidRPr="00174DB5">
        <w:rPr>
          <w:rFonts w:ascii="Arial" w:hAnsi="Arial" w:cs="Arial"/>
          <w:spacing w:val="-5"/>
        </w:rPr>
        <w:t xml:space="preserve"> </w:t>
      </w:r>
      <w:r w:rsidRPr="00174DB5">
        <w:rPr>
          <w:rFonts w:ascii="Arial" w:hAnsi="Arial" w:cs="Arial"/>
          <w:spacing w:val="-1"/>
        </w:rPr>
        <w:t>in</w:t>
      </w:r>
      <w:r w:rsidRPr="00174DB5">
        <w:rPr>
          <w:rFonts w:ascii="Arial" w:hAnsi="Arial" w:cs="Arial"/>
          <w:spacing w:val="-5"/>
        </w:rPr>
        <w:t xml:space="preserve"> </w:t>
      </w:r>
      <w:r w:rsidRPr="00174DB5">
        <w:rPr>
          <w:rFonts w:ascii="Arial" w:hAnsi="Arial" w:cs="Arial"/>
          <w:spacing w:val="-1"/>
        </w:rPr>
        <w:t>FAR</w:t>
      </w:r>
      <w:r w:rsidRPr="00174DB5">
        <w:rPr>
          <w:rFonts w:ascii="Arial" w:hAnsi="Arial" w:cs="Arial"/>
          <w:spacing w:val="-8"/>
        </w:rPr>
        <w:t xml:space="preserve"> </w:t>
      </w:r>
      <w:hyperlink r:id="rId9" w:anchor="wp223561">
        <w:r w:rsidRPr="00174DB5">
          <w:rPr>
            <w:rFonts w:ascii="Arial" w:hAnsi="Arial" w:cs="Arial"/>
            <w:spacing w:val="1"/>
          </w:rPr>
          <w:t>19</w:t>
        </w:r>
      </w:hyperlink>
      <w:r w:rsidRPr="00174DB5">
        <w:rPr>
          <w:rFonts w:ascii="Arial" w:hAnsi="Arial" w:cs="Arial"/>
          <w:spacing w:val="-7"/>
        </w:rPr>
        <w:t xml:space="preserve"> </w:t>
      </w:r>
      <w:r w:rsidRPr="00174DB5">
        <w:rPr>
          <w:rFonts w:ascii="Arial" w:hAnsi="Arial" w:cs="Arial"/>
          <w:spacing w:val="-1"/>
        </w:rPr>
        <w:t>apply.</w:t>
      </w:r>
      <w:r w:rsidRPr="00174DB5">
        <w:rPr>
          <w:rFonts w:ascii="Arial" w:hAnsi="Arial" w:cs="Arial"/>
          <w:spacing w:val="43"/>
        </w:rPr>
        <w:t xml:space="preserve"> </w:t>
      </w:r>
    </w:p>
    <w:p w:rsidR="00440B68" w:rsidRPr="00BA0946" w:rsidRDefault="00440B68" w:rsidP="00440B68">
      <w:pPr>
        <w:rPr>
          <w:rFonts w:ascii="Arial" w:hAnsi="Arial" w:cs="Arial"/>
          <w:b/>
        </w:rPr>
      </w:pPr>
    </w:p>
    <w:p w:rsidR="00BF2646" w:rsidRPr="00BA0946" w:rsidRDefault="00BF2646">
      <w:pPr>
        <w:rPr>
          <w:rFonts w:ascii="Arial" w:hAnsi="Arial" w:cs="Arial"/>
        </w:rPr>
      </w:pPr>
    </w:p>
    <w:sectPr w:rsidR="00BF2646" w:rsidRPr="00BA0946" w:rsidSect="00D91034">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00" w:rsidRDefault="00CB2600" w:rsidP="00D91034">
      <w:pPr>
        <w:spacing w:after="0" w:line="240" w:lineRule="auto"/>
      </w:pPr>
      <w:r>
        <w:separator/>
      </w:r>
    </w:p>
  </w:endnote>
  <w:endnote w:type="continuationSeparator" w:id="0">
    <w:p w:rsidR="00CB2600" w:rsidRDefault="00CB2600" w:rsidP="00D9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1278"/>
      <w:gridCol w:w="6660"/>
      <w:gridCol w:w="1638"/>
    </w:tblGrid>
    <w:tr w:rsidR="00D91034" w:rsidRPr="0057795C" w:rsidTr="004911FA">
      <w:tc>
        <w:tcPr>
          <w:tcW w:w="1278" w:type="dxa"/>
          <w:tcBorders>
            <w:top w:val="single" w:sz="4" w:space="0" w:color="auto"/>
            <w:left w:val="nil"/>
            <w:bottom w:val="nil"/>
            <w:right w:val="nil"/>
          </w:tcBorders>
          <w:hideMark/>
        </w:tcPr>
        <w:p w:rsidR="00D91034" w:rsidRPr="0057795C" w:rsidRDefault="00D91034" w:rsidP="00D91034">
          <w:pPr>
            <w:pStyle w:val="Footer"/>
            <w:rPr>
              <w:rStyle w:val="PageNumber"/>
              <w:rFonts w:ascii="Arial" w:hAnsi="Arial" w:cs="Arial"/>
              <w:sz w:val="20"/>
            </w:rPr>
          </w:pPr>
          <w:r w:rsidRPr="0057795C">
            <w:rPr>
              <w:rFonts w:ascii="Arial" w:hAnsi="Arial" w:cs="Arial"/>
              <w:noProof/>
              <w:sz w:val="20"/>
            </w:rPr>
            <w:drawing>
              <wp:inline distT="0" distB="0" distL="0" distR="0">
                <wp:extent cx="666750" cy="676275"/>
                <wp:effectExtent l="0" t="0" r="0" b="9525"/>
                <wp:docPr id="2" name="Picture 2"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tc>
      <w:tc>
        <w:tcPr>
          <w:tcW w:w="6660" w:type="dxa"/>
          <w:tcBorders>
            <w:top w:val="single" w:sz="4" w:space="0" w:color="auto"/>
            <w:left w:val="nil"/>
            <w:bottom w:val="nil"/>
            <w:right w:val="nil"/>
          </w:tcBorders>
          <w:vAlign w:val="center"/>
          <w:hideMark/>
        </w:tcPr>
        <w:p w:rsidR="00D91034" w:rsidRPr="0057795C" w:rsidRDefault="00D91034" w:rsidP="00D91034">
          <w:pPr>
            <w:pStyle w:val="Footer"/>
            <w:rPr>
              <w:rStyle w:val="PageNumber"/>
              <w:rFonts w:ascii="Arial" w:hAnsi="Arial" w:cs="Arial"/>
              <w:sz w:val="20"/>
            </w:rPr>
          </w:pPr>
          <w:r w:rsidRPr="0057795C">
            <w:rPr>
              <w:rStyle w:val="PageNumber"/>
              <w:rFonts w:ascii="Arial" w:hAnsi="Arial" w:cs="Arial"/>
              <w:sz w:val="20"/>
            </w:rPr>
            <w:t>Professional and Technical Services (ProTech)</w:t>
          </w:r>
        </w:p>
        <w:p w:rsidR="00D91034" w:rsidRPr="0057795C" w:rsidRDefault="00D91034" w:rsidP="00D91034">
          <w:pPr>
            <w:pStyle w:val="Footer"/>
            <w:rPr>
              <w:rStyle w:val="PageNumber"/>
              <w:rFonts w:ascii="Arial" w:hAnsi="Arial" w:cs="Arial"/>
              <w:sz w:val="20"/>
            </w:rPr>
          </w:pPr>
          <w:r w:rsidRPr="0057795C">
            <w:rPr>
              <w:rStyle w:val="PageNumber"/>
              <w:rFonts w:ascii="Arial" w:hAnsi="Arial" w:cs="Arial"/>
              <w:sz w:val="20"/>
            </w:rPr>
            <w:t xml:space="preserve">May 2017 </w:t>
          </w:r>
          <w:r>
            <w:rPr>
              <w:rStyle w:val="PageNumber"/>
              <w:rFonts w:ascii="Arial" w:hAnsi="Arial" w:cs="Arial"/>
              <w:sz w:val="20"/>
            </w:rPr>
            <w:t>Fair Opportunity Exceptions</w:t>
          </w:r>
        </w:p>
      </w:tc>
      <w:tc>
        <w:tcPr>
          <w:tcW w:w="1638" w:type="dxa"/>
          <w:tcBorders>
            <w:top w:val="single" w:sz="4" w:space="0" w:color="auto"/>
            <w:left w:val="nil"/>
            <w:bottom w:val="nil"/>
            <w:right w:val="nil"/>
          </w:tcBorders>
          <w:vAlign w:val="center"/>
          <w:hideMark/>
        </w:tcPr>
        <w:p w:rsidR="00D91034" w:rsidRPr="0057795C" w:rsidRDefault="00D91034" w:rsidP="00D91034">
          <w:pPr>
            <w:pStyle w:val="Footer"/>
            <w:jc w:val="right"/>
            <w:rPr>
              <w:rStyle w:val="PageNumber"/>
              <w:rFonts w:ascii="Arial" w:hAnsi="Arial" w:cs="Arial"/>
              <w:sz w:val="20"/>
            </w:rPr>
          </w:pPr>
          <w:r w:rsidRPr="0057795C">
            <w:rPr>
              <w:rStyle w:val="PageNumber"/>
              <w:rFonts w:ascii="Arial" w:hAnsi="Arial" w:cs="Arial"/>
              <w:sz w:val="20"/>
            </w:rPr>
            <w:t xml:space="preserve">Page </w:t>
          </w:r>
          <w:r w:rsidRPr="0057795C">
            <w:rPr>
              <w:rStyle w:val="PageNumber"/>
              <w:rFonts w:ascii="Arial" w:hAnsi="Arial" w:cs="Arial"/>
              <w:sz w:val="20"/>
            </w:rPr>
            <w:fldChar w:fldCharType="begin"/>
          </w:r>
          <w:r w:rsidRPr="0057795C">
            <w:rPr>
              <w:rStyle w:val="PageNumber"/>
              <w:rFonts w:ascii="Arial" w:hAnsi="Arial" w:cs="Arial"/>
              <w:sz w:val="20"/>
            </w:rPr>
            <w:instrText xml:space="preserve"> PAGE   \* MERGEFORMAT </w:instrText>
          </w:r>
          <w:r w:rsidRPr="0057795C">
            <w:rPr>
              <w:rStyle w:val="PageNumber"/>
              <w:rFonts w:ascii="Arial" w:hAnsi="Arial" w:cs="Arial"/>
              <w:sz w:val="20"/>
            </w:rPr>
            <w:fldChar w:fldCharType="separate"/>
          </w:r>
          <w:r>
            <w:rPr>
              <w:rStyle w:val="PageNumber"/>
              <w:rFonts w:ascii="Arial" w:hAnsi="Arial" w:cs="Arial"/>
              <w:noProof/>
              <w:sz w:val="20"/>
            </w:rPr>
            <w:t>1</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of </w:t>
          </w:r>
          <w:r w:rsidRPr="0057795C">
            <w:rPr>
              <w:rStyle w:val="PageNumber"/>
              <w:rFonts w:ascii="Arial" w:hAnsi="Arial" w:cs="Arial"/>
              <w:noProof/>
              <w:sz w:val="20"/>
            </w:rPr>
            <w:fldChar w:fldCharType="begin"/>
          </w:r>
          <w:r w:rsidRPr="0057795C">
            <w:rPr>
              <w:rStyle w:val="PageNumber"/>
              <w:rFonts w:ascii="Arial" w:hAnsi="Arial" w:cs="Arial"/>
              <w:noProof/>
              <w:sz w:val="20"/>
            </w:rPr>
            <w:instrText xml:space="preserve"> NUMPAGES  \* Arabic  \* MERGEFORMAT </w:instrText>
          </w:r>
          <w:r w:rsidRPr="0057795C">
            <w:rPr>
              <w:rStyle w:val="PageNumber"/>
              <w:rFonts w:ascii="Arial" w:hAnsi="Arial" w:cs="Arial"/>
              <w:noProof/>
              <w:sz w:val="20"/>
            </w:rPr>
            <w:fldChar w:fldCharType="separate"/>
          </w:r>
          <w:r>
            <w:rPr>
              <w:rStyle w:val="PageNumber"/>
              <w:rFonts w:ascii="Arial" w:hAnsi="Arial" w:cs="Arial"/>
              <w:noProof/>
              <w:sz w:val="20"/>
            </w:rPr>
            <w:t>1</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w:t>
          </w:r>
        </w:p>
      </w:tc>
    </w:tr>
  </w:tbl>
  <w:p w:rsidR="00D91034" w:rsidRDefault="00D9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00" w:rsidRDefault="00CB2600" w:rsidP="00D91034">
      <w:pPr>
        <w:spacing w:after="0" w:line="240" w:lineRule="auto"/>
      </w:pPr>
      <w:r>
        <w:separator/>
      </w:r>
    </w:p>
  </w:footnote>
  <w:footnote w:type="continuationSeparator" w:id="0">
    <w:p w:rsidR="00CB2600" w:rsidRDefault="00CB2600" w:rsidP="00D91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4F98"/>
    <w:multiLevelType w:val="multilevel"/>
    <w:tmpl w:val="E93ADC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F6C0BE4"/>
    <w:multiLevelType w:val="hybridMultilevel"/>
    <w:tmpl w:val="8F06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68"/>
    <w:rsid w:val="00011C27"/>
    <w:rsid w:val="000554B4"/>
    <w:rsid w:val="00174DB5"/>
    <w:rsid w:val="00206972"/>
    <w:rsid w:val="00440B68"/>
    <w:rsid w:val="005D7A13"/>
    <w:rsid w:val="00780C15"/>
    <w:rsid w:val="008E129F"/>
    <w:rsid w:val="00BA0946"/>
    <w:rsid w:val="00BF2646"/>
    <w:rsid w:val="00C12D1C"/>
    <w:rsid w:val="00CB2600"/>
    <w:rsid w:val="00CF6F95"/>
    <w:rsid w:val="00D91034"/>
    <w:rsid w:val="00E1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DAC3B-5D20-4F5E-9FF7-A7489FC6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554B4"/>
    <w:pPr>
      <w:keepNext/>
      <w:keepLines/>
      <w:numPr>
        <w:numId w:val="10"/>
      </w:numPr>
      <w:spacing w:before="480" w:after="0"/>
      <w:outlineLvl w:val="0"/>
    </w:pPr>
    <w:rPr>
      <w:rFonts w:ascii="Arial" w:eastAsiaTheme="majorEastAsia" w:hAnsi="Arial" w:cstheme="majorBidi"/>
      <w:b/>
      <w:bCs/>
      <w:color w:val="000080"/>
      <w:sz w:val="36"/>
      <w:szCs w:val="28"/>
    </w:rPr>
  </w:style>
  <w:style w:type="paragraph" w:styleId="Heading2">
    <w:name w:val="heading 2"/>
    <w:basedOn w:val="Normal"/>
    <w:next w:val="Normal"/>
    <w:link w:val="Heading2Char"/>
    <w:uiPriority w:val="1"/>
    <w:unhideWhenUsed/>
    <w:qFormat/>
    <w:rsid w:val="000554B4"/>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0554B4"/>
    <w:pPr>
      <w:keepNext/>
      <w:keepLines/>
      <w:numPr>
        <w:ilvl w:val="2"/>
        <w:numId w:val="10"/>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1"/>
    <w:qFormat/>
    <w:rsid w:val="000554B4"/>
    <w:pPr>
      <w:widowControl w:val="0"/>
      <w:numPr>
        <w:ilvl w:val="3"/>
        <w:numId w:val="10"/>
      </w:numPr>
      <w:autoSpaceDE w:val="0"/>
      <w:autoSpaceDN w:val="0"/>
      <w:adjustRightInd w:val="0"/>
      <w:spacing w:before="78" w:after="0" w:line="240" w:lineRule="auto"/>
      <w:outlineLvl w:val="3"/>
    </w:pPr>
    <w:rPr>
      <w:rFonts w:ascii="Book Antiqua" w:hAnsi="Book Antiqua" w:cs="Book Antiqua"/>
      <w:b/>
      <w:bCs/>
      <w:i/>
      <w:iCs/>
    </w:rPr>
  </w:style>
  <w:style w:type="paragraph" w:styleId="Heading5">
    <w:name w:val="heading 5"/>
    <w:basedOn w:val="Normal"/>
    <w:next w:val="Normal"/>
    <w:link w:val="Heading5Char"/>
    <w:uiPriority w:val="9"/>
    <w:semiHidden/>
    <w:unhideWhenUsed/>
    <w:qFormat/>
    <w:rsid w:val="000554B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4B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4B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4B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4B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554B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1"/>
    <w:rsid w:val="000554B4"/>
    <w:rPr>
      <w:rFonts w:ascii="Arial" w:eastAsiaTheme="majorEastAsia" w:hAnsi="Arial" w:cstheme="majorBidi"/>
      <w:b/>
      <w:bCs/>
      <w:color w:val="000080"/>
      <w:sz w:val="36"/>
      <w:szCs w:val="28"/>
    </w:rPr>
  </w:style>
  <w:style w:type="character" w:customStyle="1" w:styleId="Heading2Char">
    <w:name w:val="Heading 2 Char"/>
    <w:basedOn w:val="DefaultParagraphFont"/>
    <w:link w:val="Heading2"/>
    <w:uiPriority w:val="1"/>
    <w:rsid w:val="000554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0554B4"/>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1"/>
    <w:rsid w:val="000554B4"/>
    <w:rPr>
      <w:rFonts w:ascii="Book Antiqua" w:eastAsiaTheme="minorEastAsia" w:hAnsi="Book Antiqua" w:cs="Book Antiqua"/>
      <w:b/>
      <w:bCs/>
      <w:i/>
      <w:iCs/>
    </w:rPr>
  </w:style>
  <w:style w:type="character" w:customStyle="1" w:styleId="Heading5Char">
    <w:name w:val="Heading 5 Char"/>
    <w:basedOn w:val="DefaultParagraphFont"/>
    <w:link w:val="Heading5"/>
    <w:uiPriority w:val="9"/>
    <w:semiHidden/>
    <w:rsid w:val="000554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4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4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54B4"/>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554B4"/>
    <w:pPr>
      <w:suppressAutoHyphens/>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rsid w:val="000554B4"/>
    <w:rPr>
      <w:rFonts w:ascii="Times" w:eastAsia="Times New Roman" w:hAnsi="Times" w:cs="Times New Roman"/>
      <w:b/>
      <w:sz w:val="24"/>
      <w:szCs w:val="20"/>
    </w:rPr>
  </w:style>
  <w:style w:type="paragraph" w:styleId="BodyText">
    <w:name w:val="Body Text"/>
    <w:basedOn w:val="Normal"/>
    <w:link w:val="BodyTextChar"/>
    <w:uiPriority w:val="1"/>
    <w:qFormat/>
    <w:rsid w:val="000554B4"/>
    <w:pPr>
      <w:widowControl w:val="0"/>
      <w:autoSpaceDE w:val="0"/>
      <w:autoSpaceDN w:val="0"/>
      <w:adjustRightInd w:val="0"/>
      <w:spacing w:before="91" w:after="0" w:line="240" w:lineRule="auto"/>
      <w:ind w:left="119"/>
    </w:pPr>
    <w:rPr>
      <w:rFonts w:ascii="Bookman Old Style" w:hAnsi="Bookman Old Style" w:cs="Bookman Old Style"/>
    </w:rPr>
  </w:style>
  <w:style w:type="character" w:customStyle="1" w:styleId="BodyTextChar">
    <w:name w:val="Body Text Char"/>
    <w:basedOn w:val="DefaultParagraphFont"/>
    <w:link w:val="BodyText"/>
    <w:uiPriority w:val="1"/>
    <w:rsid w:val="000554B4"/>
    <w:rPr>
      <w:rFonts w:ascii="Bookman Old Style" w:eastAsiaTheme="minorEastAsia" w:hAnsi="Bookman Old Style" w:cs="Bookman Old Style"/>
    </w:rPr>
  </w:style>
  <w:style w:type="paragraph" w:styleId="NoSpacing">
    <w:name w:val="No Spacing"/>
    <w:link w:val="NoSpacingChar"/>
    <w:uiPriority w:val="1"/>
    <w:qFormat/>
    <w:rsid w:val="000554B4"/>
    <w:pPr>
      <w:spacing w:after="0" w:line="240" w:lineRule="auto"/>
    </w:pPr>
  </w:style>
  <w:style w:type="character" w:customStyle="1" w:styleId="NoSpacingChar">
    <w:name w:val="No Spacing Char"/>
    <w:link w:val="NoSpacing"/>
    <w:uiPriority w:val="1"/>
    <w:locked/>
    <w:rsid w:val="000554B4"/>
  </w:style>
  <w:style w:type="paragraph" w:styleId="ListParagraph">
    <w:name w:val="List Paragraph"/>
    <w:basedOn w:val="Normal"/>
    <w:uiPriority w:val="1"/>
    <w:qFormat/>
    <w:rsid w:val="000554B4"/>
    <w:pPr>
      <w:ind w:left="720"/>
      <w:contextualSpacing/>
    </w:pPr>
  </w:style>
  <w:style w:type="paragraph" w:styleId="TOCHeading">
    <w:name w:val="TOC Heading"/>
    <w:basedOn w:val="Heading1"/>
    <w:next w:val="Normal"/>
    <w:uiPriority w:val="39"/>
    <w:semiHidden/>
    <w:unhideWhenUsed/>
    <w:qFormat/>
    <w:rsid w:val="000554B4"/>
    <w:pPr>
      <w:numPr>
        <w:numId w:val="0"/>
      </w:numPr>
      <w:outlineLvl w:val="9"/>
    </w:pPr>
    <w:rPr>
      <w:rFonts w:asciiTheme="majorHAnsi" w:hAnsiTheme="majorHAnsi"/>
      <w:color w:val="365F91" w:themeColor="accent1" w:themeShade="BF"/>
      <w:sz w:val="28"/>
      <w:lang w:eastAsia="ja-JP"/>
    </w:rPr>
  </w:style>
  <w:style w:type="paragraph" w:styleId="Header">
    <w:name w:val="header"/>
    <w:basedOn w:val="Normal"/>
    <w:link w:val="HeaderChar"/>
    <w:uiPriority w:val="99"/>
    <w:unhideWhenUsed/>
    <w:rsid w:val="00D9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034"/>
  </w:style>
  <w:style w:type="paragraph" w:styleId="Footer">
    <w:name w:val="footer"/>
    <w:basedOn w:val="Normal"/>
    <w:link w:val="FooterChar"/>
    <w:uiPriority w:val="99"/>
    <w:unhideWhenUsed/>
    <w:rsid w:val="00D9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034"/>
  </w:style>
  <w:style w:type="character" w:styleId="PageNumber">
    <w:name w:val="page number"/>
    <w:basedOn w:val="DefaultParagraphFont"/>
    <w:rsid w:val="00D9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current/html/Subpart%2019_1.html" TargetMode="External"/><Relationship Id="rId3" Type="http://schemas.openxmlformats.org/officeDocument/2006/relationships/settings" Target="settings.xml"/><Relationship Id="rId7" Type="http://schemas.openxmlformats.org/officeDocument/2006/relationships/hyperlink" Target="http://uscode.hous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quisition.gov/far/current/html/FARTOCP1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Mark.T.Molloy</dc:creator>
  <cp:lastModifiedBy>Jason Runge</cp:lastModifiedBy>
  <cp:revision>3</cp:revision>
  <dcterms:created xsi:type="dcterms:W3CDTF">2017-05-08T18:55:00Z</dcterms:created>
  <dcterms:modified xsi:type="dcterms:W3CDTF">2017-05-10T17:42:00Z</dcterms:modified>
</cp:coreProperties>
</file>