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92" w:rsidRPr="00C37487" w:rsidRDefault="00C37487" w:rsidP="00C37487">
      <w:pPr>
        <w:keepNext/>
        <w:keepLines/>
        <w:spacing w:after="480"/>
        <w:outlineLvl w:val="0"/>
        <w:rPr>
          <w:rFonts w:ascii="Arial" w:eastAsiaTheme="majorEastAsia" w:hAnsi="Arial" w:cs="Arial"/>
          <w:b/>
          <w:bCs/>
          <w:sz w:val="36"/>
          <w:szCs w:val="36"/>
        </w:rPr>
      </w:pPr>
      <w:bookmarkStart w:id="0" w:name="_Toc480211836"/>
      <w:bookmarkStart w:id="1" w:name="_GoBack"/>
      <w:bookmarkEnd w:id="1"/>
      <w:r w:rsidRPr="00C37487">
        <w:rPr>
          <w:rFonts w:ascii="Arial" w:eastAsiaTheme="majorEastAsia" w:hAnsi="Arial" w:cs="Arial"/>
          <w:b/>
          <w:bCs/>
          <w:sz w:val="36"/>
          <w:szCs w:val="36"/>
        </w:rPr>
        <w:t>PROPOSAL SUBMISSION INSTRUCTIONS/</w:t>
      </w:r>
      <w:r>
        <w:rPr>
          <w:rFonts w:ascii="Arial" w:eastAsiaTheme="majorEastAsia" w:hAnsi="Arial" w:cs="Arial"/>
          <w:b/>
          <w:bCs/>
          <w:sz w:val="36"/>
          <w:szCs w:val="36"/>
        </w:rPr>
        <w:t xml:space="preserve"> </w:t>
      </w:r>
      <w:r w:rsidRPr="00C37487">
        <w:rPr>
          <w:rFonts w:ascii="Arial" w:eastAsiaTheme="majorEastAsia" w:hAnsi="Arial" w:cs="Arial"/>
          <w:b/>
          <w:bCs/>
          <w:sz w:val="36"/>
          <w:szCs w:val="36"/>
        </w:rPr>
        <w:t>EVALUATION CRITERIA</w:t>
      </w:r>
      <w:bookmarkEnd w:id="0"/>
    </w:p>
    <w:p w:rsidR="008D2592" w:rsidRPr="005B58A9" w:rsidRDefault="005B58A9" w:rsidP="00DB5308">
      <w:pPr>
        <w:spacing w:after="0" w:line="280" w:lineRule="exact"/>
        <w:rPr>
          <w:rFonts w:ascii="Arial" w:hAnsi="Arial" w:cs="Arial"/>
          <w:b/>
        </w:rPr>
      </w:pPr>
      <w:r w:rsidRPr="005B58A9">
        <w:rPr>
          <w:rFonts w:ascii="Arial" w:hAnsi="Arial" w:cs="Arial"/>
          <w:b/>
        </w:rPr>
        <w:t>PROPOSAL SUBMISSION INSTRUCTIONS</w:t>
      </w:r>
    </w:p>
    <w:p w:rsidR="008D2592" w:rsidRPr="005B58A9" w:rsidRDefault="008D2592" w:rsidP="00DB5308">
      <w:pPr>
        <w:spacing w:after="160" w:line="280" w:lineRule="exact"/>
        <w:rPr>
          <w:rFonts w:ascii="Arial" w:hAnsi="Arial" w:cs="Arial"/>
        </w:rPr>
      </w:pPr>
      <w:r w:rsidRPr="005B58A9">
        <w:rPr>
          <w:rFonts w:ascii="Arial" w:hAnsi="Arial" w:cs="Arial"/>
        </w:rPr>
        <w:t>Technical and cost/price proposals shall be separate documents and consist of the following tabs: NOTE: While the technical proposal must not contain any reference to cost, resource information (such as data concerning labor hours and categories, materials, subcontracts, etc.) must be provided so that the contractor’s understanding of the requirements may be evaluated.</w:t>
      </w:r>
    </w:p>
    <w:p w:rsidR="00DB5308" w:rsidRDefault="00DB5308" w:rsidP="00DB5308">
      <w:pPr>
        <w:spacing w:after="0" w:line="280" w:lineRule="exact"/>
        <w:rPr>
          <w:rFonts w:ascii="Arial" w:hAnsi="Arial" w:cs="Arial"/>
          <w:b/>
        </w:rPr>
      </w:pPr>
      <w:r>
        <w:rPr>
          <w:rFonts w:ascii="Arial" w:hAnsi="Arial" w:cs="Arial"/>
          <w:b/>
        </w:rPr>
        <w:t>TAB 1–Technical Proposal</w:t>
      </w:r>
    </w:p>
    <w:p w:rsidR="008D2592" w:rsidRPr="005B58A9" w:rsidRDefault="008D2592" w:rsidP="00DB5308">
      <w:pPr>
        <w:spacing w:after="160" w:line="280" w:lineRule="exact"/>
        <w:rPr>
          <w:rFonts w:ascii="Arial" w:hAnsi="Arial" w:cs="Arial"/>
        </w:rPr>
      </w:pPr>
      <w:r w:rsidRPr="005B58A9">
        <w:rPr>
          <w:rFonts w:ascii="Arial" w:hAnsi="Arial" w:cs="Arial"/>
        </w:rPr>
        <w:t>Technical proposal information will be streamlined and limited to [insert page limitation] pages. At a minimum, technical proposals shall address the following elements:</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Technical/management approach</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Key personnel assigned</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Teaming arrangements (including subcontractors)</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Risks and risk mitigation plan</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Period of performance</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Government-furnished equipment (GFE)/Government-furnished information (GFI)</w:t>
      </w:r>
    </w:p>
    <w:p w:rsidR="008D2592" w:rsidRPr="005B58A9" w:rsidRDefault="008D2592" w:rsidP="00DB5308">
      <w:pPr>
        <w:numPr>
          <w:ilvl w:val="0"/>
          <w:numId w:val="11"/>
        </w:numPr>
        <w:spacing w:after="0" w:line="280" w:lineRule="exact"/>
        <w:contextualSpacing/>
        <w:rPr>
          <w:rFonts w:ascii="Arial" w:hAnsi="Arial" w:cs="Arial"/>
        </w:rPr>
      </w:pPr>
      <w:r w:rsidRPr="005B58A9">
        <w:rPr>
          <w:rFonts w:ascii="Arial" w:hAnsi="Arial" w:cs="Arial"/>
        </w:rPr>
        <w:t>Security (including clearance level)</w:t>
      </w:r>
    </w:p>
    <w:p w:rsidR="008D2592" w:rsidRPr="005B58A9" w:rsidRDefault="008D2592" w:rsidP="00DB5308">
      <w:pPr>
        <w:numPr>
          <w:ilvl w:val="0"/>
          <w:numId w:val="11"/>
        </w:numPr>
        <w:spacing w:after="160" w:line="280" w:lineRule="exact"/>
        <w:contextualSpacing/>
        <w:rPr>
          <w:rFonts w:ascii="Arial" w:hAnsi="Arial" w:cs="Arial"/>
        </w:rPr>
      </w:pPr>
      <w:r w:rsidRPr="005B58A9">
        <w:rPr>
          <w:rFonts w:ascii="Arial" w:hAnsi="Arial" w:cs="Arial"/>
        </w:rPr>
        <w:t>Other pertinent data</w:t>
      </w:r>
    </w:p>
    <w:p w:rsidR="008D2592" w:rsidRPr="005B58A9" w:rsidRDefault="008D2592" w:rsidP="00DB5308">
      <w:pPr>
        <w:spacing w:after="0" w:line="280" w:lineRule="exact"/>
        <w:ind w:left="720"/>
        <w:contextualSpacing/>
        <w:rPr>
          <w:rFonts w:ascii="Arial" w:hAnsi="Arial" w:cs="Arial"/>
        </w:rPr>
      </w:pPr>
    </w:p>
    <w:p w:rsidR="008D2592" w:rsidRPr="005B58A9" w:rsidRDefault="008D2592" w:rsidP="00DB5308">
      <w:pPr>
        <w:spacing w:after="160" w:line="280" w:lineRule="exact"/>
        <w:rPr>
          <w:rFonts w:ascii="Arial" w:hAnsi="Arial" w:cs="Arial"/>
        </w:rPr>
      </w:pPr>
      <w:r w:rsidRPr="005B58A9">
        <w:rPr>
          <w:rFonts w:ascii="Arial" w:hAnsi="Arial" w:cs="Arial"/>
        </w:rPr>
        <w:t xml:space="preserve">NOTE:  If instructions are for a performance-based Task Order, the technical proposal shall also include the offeror’s proposed Statement of Work (SOW) or Performance Work Statement (PWS) detailing the performance requirements resulting from the Statement of </w:t>
      </w:r>
      <w:r w:rsidR="00DB5308" w:rsidRPr="005B58A9">
        <w:rPr>
          <w:rFonts w:ascii="Arial" w:hAnsi="Arial" w:cs="Arial"/>
        </w:rPr>
        <w:t>Objectives.</w:t>
      </w:r>
    </w:p>
    <w:p w:rsidR="005B58A9" w:rsidRDefault="005B58A9" w:rsidP="00DB5308">
      <w:pPr>
        <w:spacing w:after="0" w:line="280" w:lineRule="exact"/>
        <w:rPr>
          <w:rFonts w:ascii="Arial" w:hAnsi="Arial" w:cs="Arial"/>
          <w:b/>
        </w:rPr>
      </w:pPr>
      <w:r>
        <w:rPr>
          <w:rFonts w:ascii="Arial" w:hAnsi="Arial" w:cs="Arial"/>
          <w:b/>
        </w:rPr>
        <w:t>TAB 2 – Cost/Price Proposal</w:t>
      </w:r>
    </w:p>
    <w:p w:rsidR="008D2592" w:rsidRPr="005B58A9" w:rsidRDefault="008D2592" w:rsidP="00DB5308">
      <w:pPr>
        <w:spacing w:after="400" w:line="280" w:lineRule="exact"/>
        <w:rPr>
          <w:rFonts w:ascii="Arial" w:hAnsi="Arial" w:cs="Arial"/>
        </w:rPr>
      </w:pPr>
      <w:r w:rsidRPr="005B58A9">
        <w:rPr>
          <w:rFonts w:ascii="Arial" w:hAnsi="Arial" w:cs="Arial"/>
        </w:rPr>
        <w:t>This part of the proposal shall include details for all resources required to accomplish the requirements, e.g., labor hours, rates, travel, incidental equipment, etc. The price proposal shall identify labor categories in accordance with the labor rate tables contained in Section B of the basic contract. It must also identify any GFE and/or GFI required for task performance. If travel is speciﬁed in the SOW or PWS, airfare and/or local mileage, per diem rates by total days, and number of trips and number of contractor employees traveling, shall be included. The Task Order Contracting Ofﬁcer should also advise the offeror if cost or pricing information is required.</w:t>
      </w:r>
    </w:p>
    <w:p w:rsidR="008D2592" w:rsidRPr="005B58A9" w:rsidRDefault="008D2592" w:rsidP="00DB5308">
      <w:pPr>
        <w:spacing w:after="0" w:line="280" w:lineRule="exact"/>
        <w:rPr>
          <w:rFonts w:ascii="Arial" w:hAnsi="Arial" w:cs="Arial"/>
          <w:b/>
        </w:rPr>
      </w:pPr>
      <w:r w:rsidRPr="005B58A9">
        <w:rPr>
          <w:rFonts w:ascii="Arial" w:hAnsi="Arial" w:cs="Arial"/>
          <w:b/>
        </w:rPr>
        <w:t xml:space="preserve">Evaluation Criteria </w:t>
      </w:r>
    </w:p>
    <w:p w:rsidR="00C67DA1" w:rsidRDefault="008D2592" w:rsidP="00DB5308">
      <w:pPr>
        <w:spacing w:line="280" w:lineRule="exact"/>
        <w:rPr>
          <w:rFonts w:ascii="Arial" w:hAnsi="Arial" w:cs="Arial"/>
        </w:rPr>
      </w:pPr>
      <w:r w:rsidRPr="005B58A9">
        <w:rPr>
          <w:rFonts w:ascii="Arial" w:hAnsi="Arial" w:cs="Arial"/>
        </w:rPr>
        <w:t>This is a best value award, and the evaluation criteria for this award will be based on the following factors and weights assigned to each factor. [EXAMPLE ONLY – INSERT FACTORS/LANGUAGE AS</w:t>
      </w:r>
      <w:r w:rsidR="007F7782">
        <w:rPr>
          <w:rFonts w:ascii="Arial" w:hAnsi="Arial" w:cs="Arial"/>
        </w:rPr>
        <w:t xml:space="preserve"> </w:t>
      </w:r>
      <w:r w:rsidRPr="005B58A9">
        <w:rPr>
          <w:rFonts w:ascii="Arial" w:hAnsi="Arial" w:cs="Arial"/>
        </w:rPr>
        <w:t>APPROPRIATE]</w:t>
      </w:r>
    </w:p>
    <w:p w:rsidR="00C67DA1" w:rsidRDefault="00C67DA1">
      <w:pPr>
        <w:rPr>
          <w:rFonts w:ascii="Arial" w:hAnsi="Arial" w:cs="Arial"/>
        </w:rPr>
      </w:pPr>
      <w:r>
        <w:rPr>
          <w:rFonts w:ascii="Arial" w:hAnsi="Arial" w:cs="Arial"/>
        </w:rPr>
        <w:br w:type="page"/>
      </w:r>
    </w:p>
    <w:p w:rsidR="008D2592" w:rsidRPr="00C37487" w:rsidRDefault="008D2592" w:rsidP="00C37487">
      <w:pPr>
        <w:spacing w:after="0" w:line="280" w:lineRule="exact"/>
        <w:rPr>
          <w:rFonts w:ascii="Arial" w:hAnsi="Arial" w:cs="Arial"/>
          <w:b/>
        </w:rPr>
      </w:pPr>
      <w:r w:rsidRPr="00C37487">
        <w:rPr>
          <w:rFonts w:ascii="Arial" w:hAnsi="Arial" w:cs="Arial"/>
          <w:b/>
        </w:rPr>
        <w:lastRenderedPageBreak/>
        <w:t>Technical/Management Approach:</w:t>
      </w:r>
    </w:p>
    <w:p w:rsidR="008D2592" w:rsidRPr="005B58A9" w:rsidRDefault="008D2592" w:rsidP="00C37487">
      <w:pPr>
        <w:spacing w:after="60" w:line="280" w:lineRule="exact"/>
        <w:rPr>
          <w:rFonts w:ascii="Arial" w:hAnsi="Arial" w:cs="Arial"/>
        </w:rPr>
      </w:pPr>
      <w:r w:rsidRPr="005B58A9">
        <w:rPr>
          <w:rFonts w:ascii="Arial" w:hAnsi="Arial" w:cs="Arial"/>
        </w:rPr>
        <w:t>(1)</w:t>
      </w:r>
    </w:p>
    <w:p w:rsidR="008D2592" w:rsidRPr="005B58A9" w:rsidRDefault="008D2592" w:rsidP="00C37487">
      <w:pPr>
        <w:spacing w:after="60" w:line="280" w:lineRule="exact"/>
        <w:rPr>
          <w:rFonts w:ascii="Arial" w:hAnsi="Arial" w:cs="Arial"/>
        </w:rPr>
      </w:pPr>
      <w:r w:rsidRPr="005B58A9">
        <w:rPr>
          <w:rFonts w:ascii="Arial" w:hAnsi="Arial" w:cs="Arial"/>
        </w:rPr>
        <w:t>(2)</w:t>
      </w:r>
    </w:p>
    <w:p w:rsidR="008D2592" w:rsidRPr="005B58A9" w:rsidRDefault="008D2592" w:rsidP="00C37487">
      <w:pPr>
        <w:spacing w:after="160" w:line="280" w:lineRule="exact"/>
        <w:rPr>
          <w:rFonts w:ascii="Arial" w:hAnsi="Arial" w:cs="Arial"/>
        </w:rPr>
      </w:pPr>
      <w:r w:rsidRPr="005B58A9">
        <w:rPr>
          <w:rFonts w:ascii="Arial" w:hAnsi="Arial" w:cs="Arial"/>
        </w:rPr>
        <w:t>(3)</w:t>
      </w:r>
    </w:p>
    <w:p w:rsidR="00DB5308" w:rsidRDefault="00DB5308" w:rsidP="00DB5308">
      <w:pPr>
        <w:spacing w:line="280" w:lineRule="exact"/>
        <w:rPr>
          <w:rFonts w:ascii="Arial" w:hAnsi="Arial" w:cs="Arial"/>
        </w:rPr>
      </w:pPr>
    </w:p>
    <w:p w:rsidR="008D2592" w:rsidRPr="00C37487" w:rsidRDefault="008D2592" w:rsidP="00C37487">
      <w:pPr>
        <w:spacing w:after="0" w:line="280" w:lineRule="exact"/>
        <w:rPr>
          <w:rFonts w:ascii="Arial" w:hAnsi="Arial" w:cs="Arial"/>
          <w:b/>
        </w:rPr>
      </w:pPr>
      <w:r w:rsidRPr="00C37487">
        <w:rPr>
          <w:rFonts w:ascii="Arial" w:hAnsi="Arial" w:cs="Arial"/>
          <w:b/>
        </w:rPr>
        <w:t>Past Performance:</w:t>
      </w:r>
    </w:p>
    <w:p w:rsidR="008D2592" w:rsidRPr="005B58A9" w:rsidRDefault="008D2592" w:rsidP="00C37487">
      <w:pPr>
        <w:spacing w:after="60" w:line="280" w:lineRule="exact"/>
        <w:rPr>
          <w:rFonts w:ascii="Arial" w:hAnsi="Arial" w:cs="Arial"/>
        </w:rPr>
      </w:pPr>
      <w:r w:rsidRPr="005B58A9">
        <w:rPr>
          <w:rFonts w:ascii="Arial" w:hAnsi="Arial" w:cs="Arial"/>
        </w:rPr>
        <w:t>(1)</w:t>
      </w:r>
    </w:p>
    <w:p w:rsidR="008D2592" w:rsidRPr="005B58A9" w:rsidRDefault="008D2592" w:rsidP="00C37487">
      <w:pPr>
        <w:spacing w:after="60" w:line="280" w:lineRule="exact"/>
        <w:rPr>
          <w:rFonts w:ascii="Arial" w:hAnsi="Arial" w:cs="Arial"/>
        </w:rPr>
      </w:pPr>
      <w:r w:rsidRPr="005B58A9">
        <w:rPr>
          <w:rFonts w:ascii="Arial" w:hAnsi="Arial" w:cs="Arial"/>
        </w:rPr>
        <w:t>(2)</w:t>
      </w:r>
    </w:p>
    <w:p w:rsidR="008D2592" w:rsidRPr="005B58A9" w:rsidRDefault="008D2592" w:rsidP="00C37487">
      <w:pPr>
        <w:spacing w:after="160" w:line="280" w:lineRule="exact"/>
        <w:rPr>
          <w:rFonts w:ascii="Arial" w:hAnsi="Arial" w:cs="Arial"/>
        </w:rPr>
      </w:pPr>
      <w:r w:rsidRPr="005B58A9">
        <w:rPr>
          <w:rFonts w:ascii="Arial" w:hAnsi="Arial" w:cs="Arial"/>
        </w:rPr>
        <w:t>(3)</w:t>
      </w:r>
    </w:p>
    <w:p w:rsidR="008D2592" w:rsidRPr="00C37487" w:rsidRDefault="008D2592" w:rsidP="00C37487">
      <w:pPr>
        <w:spacing w:after="0" w:line="280" w:lineRule="exact"/>
        <w:rPr>
          <w:rFonts w:ascii="Arial" w:hAnsi="Arial" w:cs="Arial"/>
          <w:b/>
        </w:rPr>
      </w:pPr>
      <w:r w:rsidRPr="00C37487">
        <w:rPr>
          <w:rFonts w:ascii="Arial" w:hAnsi="Arial" w:cs="Arial"/>
          <w:b/>
        </w:rPr>
        <w:t>Other Factors:</w:t>
      </w:r>
    </w:p>
    <w:p w:rsidR="008D2592" w:rsidRPr="005B58A9" w:rsidRDefault="008D2592" w:rsidP="00C37487">
      <w:pPr>
        <w:spacing w:after="60" w:line="280" w:lineRule="exact"/>
        <w:rPr>
          <w:rFonts w:ascii="Arial" w:hAnsi="Arial" w:cs="Arial"/>
        </w:rPr>
      </w:pPr>
      <w:r w:rsidRPr="005B58A9">
        <w:rPr>
          <w:rFonts w:ascii="Arial" w:hAnsi="Arial" w:cs="Arial"/>
        </w:rPr>
        <w:t>(1)</w:t>
      </w:r>
    </w:p>
    <w:p w:rsidR="008D2592" w:rsidRPr="005B58A9" w:rsidRDefault="008D2592" w:rsidP="00C37487">
      <w:pPr>
        <w:spacing w:after="60" w:line="280" w:lineRule="exact"/>
        <w:rPr>
          <w:rFonts w:ascii="Arial" w:hAnsi="Arial" w:cs="Arial"/>
        </w:rPr>
      </w:pPr>
      <w:r w:rsidRPr="005B58A9">
        <w:rPr>
          <w:rFonts w:ascii="Arial" w:hAnsi="Arial" w:cs="Arial"/>
        </w:rPr>
        <w:t>(2)</w:t>
      </w:r>
    </w:p>
    <w:p w:rsidR="008D2592" w:rsidRPr="005B58A9" w:rsidRDefault="008D2592" w:rsidP="00C37487">
      <w:pPr>
        <w:spacing w:after="160" w:line="280" w:lineRule="exact"/>
        <w:rPr>
          <w:rFonts w:ascii="Arial" w:hAnsi="Arial" w:cs="Arial"/>
        </w:rPr>
      </w:pPr>
      <w:r w:rsidRPr="005B58A9">
        <w:rPr>
          <w:rFonts w:ascii="Arial" w:hAnsi="Arial" w:cs="Arial"/>
        </w:rPr>
        <w:t>(3)</w:t>
      </w:r>
    </w:p>
    <w:p w:rsidR="008D2592" w:rsidRPr="005B58A9" w:rsidRDefault="008D2592" w:rsidP="00DB5308">
      <w:pPr>
        <w:spacing w:after="0" w:line="280" w:lineRule="exact"/>
        <w:rPr>
          <w:rFonts w:ascii="Arial" w:hAnsi="Arial" w:cs="Arial"/>
          <w:b/>
        </w:rPr>
      </w:pPr>
      <w:r w:rsidRPr="005B58A9">
        <w:rPr>
          <w:rFonts w:ascii="Arial" w:hAnsi="Arial" w:cs="Arial"/>
          <w:b/>
        </w:rPr>
        <w:t>Order of Importance</w:t>
      </w:r>
    </w:p>
    <w:p w:rsidR="008D2592" w:rsidRPr="005B58A9" w:rsidRDefault="008D2592" w:rsidP="00DB5308">
      <w:pPr>
        <w:spacing w:after="160" w:line="280" w:lineRule="exact"/>
        <w:rPr>
          <w:rFonts w:ascii="Arial" w:hAnsi="Arial" w:cs="Arial"/>
        </w:rPr>
      </w:pPr>
      <w:r w:rsidRPr="005B58A9">
        <w:rPr>
          <w:rFonts w:ascii="Arial" w:hAnsi="Arial" w:cs="Arial"/>
        </w:rPr>
        <w:t>For example: Factor 1 is more important than Factor 2;</w:t>
      </w:r>
      <w:r w:rsidR="007F7782">
        <w:rPr>
          <w:rFonts w:ascii="Arial" w:hAnsi="Arial" w:cs="Arial"/>
        </w:rPr>
        <w:t xml:space="preserve"> </w:t>
      </w:r>
      <w:r w:rsidRPr="005B58A9">
        <w:rPr>
          <w:rFonts w:ascii="Arial" w:hAnsi="Arial" w:cs="Arial"/>
        </w:rPr>
        <w:t>Factor 2 is more important than Factor 3; OR Factors 1 and 2 are equal and more important than Factor 3.</w:t>
      </w:r>
    </w:p>
    <w:p w:rsidR="008D2592" w:rsidRPr="005B58A9" w:rsidRDefault="008D2592" w:rsidP="00DB5308">
      <w:pPr>
        <w:spacing w:after="0" w:line="280" w:lineRule="exact"/>
        <w:rPr>
          <w:rFonts w:ascii="Arial" w:hAnsi="Arial" w:cs="Arial"/>
          <w:b/>
        </w:rPr>
      </w:pPr>
      <w:r w:rsidRPr="005B58A9">
        <w:rPr>
          <w:rFonts w:ascii="Arial" w:hAnsi="Arial" w:cs="Arial"/>
          <w:b/>
        </w:rPr>
        <w:t>Cost/Price</w:t>
      </w:r>
    </w:p>
    <w:p w:rsidR="008D2592" w:rsidRPr="005B58A9" w:rsidRDefault="008D2592" w:rsidP="00DB5308">
      <w:pPr>
        <w:spacing w:line="280" w:lineRule="exact"/>
        <w:rPr>
          <w:rFonts w:ascii="Arial" w:hAnsi="Arial" w:cs="Arial"/>
        </w:rPr>
      </w:pPr>
      <w:r w:rsidRPr="005B58A9">
        <w:rPr>
          <w:rFonts w:ascii="Arial" w:hAnsi="Arial" w:cs="Arial"/>
        </w:rPr>
        <w:t>In performing the best value trade-off analysis, all non-cost evaluation factors, when combined, are MORE IMPORTANT than cost/price (sample lead-in sentence to speciﬁc instructions on a cost price evaluation).</w:t>
      </w:r>
    </w:p>
    <w:p w:rsidR="008D2592" w:rsidRPr="008D2592" w:rsidRDefault="008D2592" w:rsidP="008D2592">
      <w:pPr>
        <w:rPr>
          <w:rFonts w:ascii="Times New Roman" w:hAnsi="Times New Roman" w:cs="Times New Roman"/>
          <w:sz w:val="24"/>
          <w:szCs w:val="24"/>
        </w:rPr>
      </w:pPr>
      <w:bookmarkStart w:id="2" w:name="_ProTech_Small_Business"/>
      <w:bookmarkEnd w:id="2"/>
    </w:p>
    <w:p w:rsidR="008D2592" w:rsidRPr="008D2592" w:rsidRDefault="008D2592" w:rsidP="008D2592">
      <w:pPr>
        <w:rPr>
          <w:rFonts w:ascii="Times New Roman" w:hAnsi="Times New Roman" w:cs="Times New Roman"/>
          <w:sz w:val="24"/>
          <w:szCs w:val="24"/>
        </w:rPr>
      </w:pPr>
    </w:p>
    <w:p w:rsidR="008D2592" w:rsidRPr="008D2592" w:rsidRDefault="008D2592" w:rsidP="008D2592">
      <w:pPr>
        <w:rPr>
          <w:rFonts w:ascii="Times New Roman" w:hAnsi="Times New Roman" w:cs="Times New Roman"/>
          <w:sz w:val="24"/>
          <w:szCs w:val="24"/>
        </w:rPr>
      </w:pPr>
    </w:p>
    <w:p w:rsidR="008D2592" w:rsidRPr="008D2592" w:rsidRDefault="008D2592" w:rsidP="008D2592">
      <w:pPr>
        <w:rPr>
          <w:rFonts w:ascii="Times New Roman" w:hAnsi="Times New Roman" w:cs="Times New Roman"/>
          <w:sz w:val="24"/>
          <w:szCs w:val="24"/>
        </w:rPr>
      </w:pPr>
    </w:p>
    <w:p w:rsidR="008D2592" w:rsidRPr="008D2592" w:rsidRDefault="008D2592" w:rsidP="008D2592"/>
    <w:p w:rsidR="00BF2646" w:rsidRDefault="00BF2646"/>
    <w:sectPr w:rsidR="00BF2646" w:rsidSect="00C67DA1">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98" w:rsidRDefault="004D1D98" w:rsidP="00C67DA1">
      <w:pPr>
        <w:spacing w:after="0" w:line="240" w:lineRule="auto"/>
      </w:pPr>
      <w:r>
        <w:separator/>
      </w:r>
    </w:p>
  </w:endnote>
  <w:endnote w:type="continuationSeparator" w:id="0">
    <w:p w:rsidR="004D1D98" w:rsidRDefault="004D1D98" w:rsidP="00C6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78"/>
      <w:gridCol w:w="6660"/>
      <w:gridCol w:w="1638"/>
    </w:tblGrid>
    <w:tr w:rsidR="00C67DA1" w:rsidRPr="0057795C" w:rsidTr="004911FA">
      <w:tc>
        <w:tcPr>
          <w:tcW w:w="1278" w:type="dxa"/>
          <w:tcBorders>
            <w:top w:val="single" w:sz="4" w:space="0" w:color="auto"/>
            <w:left w:val="nil"/>
            <w:bottom w:val="nil"/>
            <w:right w:val="nil"/>
          </w:tcBorders>
          <w:hideMark/>
        </w:tcPr>
        <w:p w:rsidR="00C67DA1" w:rsidRPr="0057795C" w:rsidRDefault="00C67DA1" w:rsidP="00C67DA1">
          <w:pPr>
            <w:pStyle w:val="Footer"/>
            <w:rPr>
              <w:rStyle w:val="PageNumber"/>
              <w:rFonts w:ascii="Arial" w:hAnsi="Arial" w:cs="Arial"/>
              <w:sz w:val="20"/>
            </w:rPr>
          </w:pPr>
          <w:r w:rsidRPr="0057795C">
            <w:rPr>
              <w:rFonts w:ascii="Arial" w:hAnsi="Arial" w:cs="Arial"/>
              <w:noProof/>
              <w:sz w:val="20"/>
            </w:rPr>
            <w:drawing>
              <wp:inline distT="0" distB="0" distL="0" distR="0">
                <wp:extent cx="666750" cy="676275"/>
                <wp:effectExtent l="0" t="0" r="0" b="9525"/>
                <wp:docPr id="2" name="Picture 2"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6660" w:type="dxa"/>
          <w:tcBorders>
            <w:top w:val="single" w:sz="4" w:space="0" w:color="auto"/>
            <w:left w:val="nil"/>
            <w:bottom w:val="nil"/>
            <w:right w:val="nil"/>
          </w:tcBorders>
          <w:vAlign w:val="center"/>
          <w:hideMark/>
        </w:tcPr>
        <w:p w:rsidR="00C67DA1" w:rsidRPr="0057795C" w:rsidRDefault="00C67DA1" w:rsidP="00C67DA1">
          <w:pPr>
            <w:pStyle w:val="Footer"/>
            <w:rPr>
              <w:rStyle w:val="PageNumber"/>
              <w:rFonts w:ascii="Arial" w:hAnsi="Arial" w:cs="Arial"/>
              <w:sz w:val="20"/>
            </w:rPr>
          </w:pPr>
          <w:r w:rsidRPr="0057795C">
            <w:rPr>
              <w:rStyle w:val="PageNumber"/>
              <w:rFonts w:ascii="Arial" w:hAnsi="Arial" w:cs="Arial"/>
              <w:sz w:val="20"/>
            </w:rPr>
            <w:t>Professional and Technical Services (ProTech)</w:t>
          </w:r>
        </w:p>
        <w:p w:rsidR="00C67DA1" w:rsidRPr="0057795C" w:rsidRDefault="00C67DA1" w:rsidP="00C67DA1">
          <w:pPr>
            <w:pStyle w:val="Footer"/>
            <w:rPr>
              <w:rStyle w:val="PageNumber"/>
              <w:rFonts w:ascii="Arial" w:hAnsi="Arial" w:cs="Arial"/>
              <w:sz w:val="20"/>
            </w:rPr>
          </w:pPr>
          <w:r w:rsidRPr="0057795C">
            <w:rPr>
              <w:rStyle w:val="PageNumber"/>
              <w:rFonts w:ascii="Arial" w:hAnsi="Arial" w:cs="Arial"/>
              <w:sz w:val="20"/>
            </w:rPr>
            <w:t xml:space="preserve">May 2017 </w:t>
          </w:r>
          <w:r>
            <w:rPr>
              <w:rStyle w:val="PageNumber"/>
              <w:rFonts w:ascii="Arial" w:hAnsi="Arial" w:cs="Arial"/>
              <w:sz w:val="20"/>
            </w:rPr>
            <w:t>Proposal Submission Instructions</w:t>
          </w:r>
        </w:p>
      </w:tc>
      <w:tc>
        <w:tcPr>
          <w:tcW w:w="1638" w:type="dxa"/>
          <w:tcBorders>
            <w:top w:val="single" w:sz="4" w:space="0" w:color="auto"/>
            <w:left w:val="nil"/>
            <w:bottom w:val="nil"/>
            <w:right w:val="nil"/>
          </w:tcBorders>
          <w:vAlign w:val="center"/>
          <w:hideMark/>
        </w:tcPr>
        <w:p w:rsidR="00C67DA1" w:rsidRPr="0057795C" w:rsidRDefault="00C67DA1" w:rsidP="00C67DA1">
          <w:pPr>
            <w:pStyle w:val="Footer"/>
            <w:jc w:val="right"/>
            <w:rPr>
              <w:rStyle w:val="PageNumber"/>
              <w:rFonts w:ascii="Arial" w:hAnsi="Arial" w:cs="Arial"/>
              <w:sz w:val="20"/>
            </w:rPr>
          </w:pPr>
          <w:r w:rsidRPr="0057795C">
            <w:rPr>
              <w:rStyle w:val="PageNumber"/>
              <w:rFonts w:ascii="Arial" w:hAnsi="Arial" w:cs="Arial"/>
              <w:sz w:val="20"/>
            </w:rPr>
            <w:t xml:space="preserve">Page </w:t>
          </w:r>
          <w:r w:rsidRPr="0057795C">
            <w:rPr>
              <w:rStyle w:val="PageNumber"/>
              <w:rFonts w:ascii="Arial" w:hAnsi="Arial" w:cs="Arial"/>
              <w:sz w:val="20"/>
            </w:rPr>
            <w:fldChar w:fldCharType="begin"/>
          </w:r>
          <w:r w:rsidRPr="0057795C">
            <w:rPr>
              <w:rStyle w:val="PageNumber"/>
              <w:rFonts w:ascii="Arial" w:hAnsi="Arial" w:cs="Arial"/>
              <w:sz w:val="20"/>
            </w:rPr>
            <w:instrText xml:space="preserve"> PAGE   \* MERGEFORMAT </w:instrText>
          </w:r>
          <w:r w:rsidRPr="0057795C">
            <w:rPr>
              <w:rStyle w:val="PageNumber"/>
              <w:rFonts w:ascii="Arial" w:hAnsi="Arial" w:cs="Arial"/>
              <w:sz w:val="20"/>
            </w:rPr>
            <w:fldChar w:fldCharType="separate"/>
          </w:r>
          <w:r>
            <w:rPr>
              <w:rStyle w:val="PageNumber"/>
              <w:rFonts w:ascii="Arial" w:hAnsi="Arial" w:cs="Arial"/>
              <w:noProof/>
              <w:sz w:val="20"/>
            </w:rPr>
            <w:t>1</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of </w:t>
          </w:r>
          <w:r w:rsidRPr="0057795C">
            <w:rPr>
              <w:rStyle w:val="PageNumber"/>
              <w:rFonts w:ascii="Arial" w:hAnsi="Arial" w:cs="Arial"/>
              <w:noProof/>
              <w:sz w:val="20"/>
            </w:rPr>
            <w:fldChar w:fldCharType="begin"/>
          </w:r>
          <w:r w:rsidRPr="0057795C">
            <w:rPr>
              <w:rStyle w:val="PageNumber"/>
              <w:rFonts w:ascii="Arial" w:hAnsi="Arial" w:cs="Arial"/>
              <w:noProof/>
              <w:sz w:val="20"/>
            </w:rPr>
            <w:instrText xml:space="preserve"> NUMPAGES  \* Arabic  \* MERGEFORMAT </w:instrText>
          </w:r>
          <w:r w:rsidRPr="0057795C">
            <w:rPr>
              <w:rStyle w:val="PageNumber"/>
              <w:rFonts w:ascii="Arial" w:hAnsi="Arial" w:cs="Arial"/>
              <w:noProof/>
              <w:sz w:val="20"/>
            </w:rPr>
            <w:fldChar w:fldCharType="separate"/>
          </w:r>
          <w:r>
            <w:rPr>
              <w:rStyle w:val="PageNumber"/>
              <w:rFonts w:ascii="Arial" w:hAnsi="Arial" w:cs="Arial"/>
              <w:noProof/>
              <w:sz w:val="20"/>
            </w:rPr>
            <w:t>2</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w:t>
          </w:r>
        </w:p>
      </w:tc>
    </w:tr>
  </w:tbl>
  <w:p w:rsidR="00C67DA1" w:rsidRDefault="00C67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98" w:rsidRDefault="004D1D98" w:rsidP="00C67DA1">
      <w:pPr>
        <w:spacing w:after="0" w:line="240" w:lineRule="auto"/>
      </w:pPr>
      <w:r>
        <w:separator/>
      </w:r>
    </w:p>
  </w:footnote>
  <w:footnote w:type="continuationSeparator" w:id="0">
    <w:p w:rsidR="004D1D98" w:rsidRDefault="004D1D98" w:rsidP="00C67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4F98"/>
    <w:multiLevelType w:val="multilevel"/>
    <w:tmpl w:val="E93ADC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850FB2"/>
    <w:multiLevelType w:val="hybridMultilevel"/>
    <w:tmpl w:val="93F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2"/>
    <w:rsid w:val="000554B4"/>
    <w:rsid w:val="003121B3"/>
    <w:rsid w:val="004D1D98"/>
    <w:rsid w:val="005B58A9"/>
    <w:rsid w:val="007F7782"/>
    <w:rsid w:val="008D2592"/>
    <w:rsid w:val="00BF2646"/>
    <w:rsid w:val="00C37487"/>
    <w:rsid w:val="00C67DA1"/>
    <w:rsid w:val="00DB5308"/>
    <w:rsid w:val="00E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BB501-B289-4E58-BC65-C26E87E1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554B4"/>
    <w:pPr>
      <w:keepNext/>
      <w:keepLines/>
      <w:numPr>
        <w:numId w:val="10"/>
      </w:numPr>
      <w:spacing w:before="480" w:after="0"/>
      <w:outlineLvl w:val="0"/>
    </w:pPr>
    <w:rPr>
      <w:rFonts w:ascii="Arial" w:eastAsiaTheme="majorEastAsia" w:hAnsi="Arial" w:cstheme="majorBidi"/>
      <w:b/>
      <w:bCs/>
      <w:color w:val="000080"/>
      <w:sz w:val="36"/>
      <w:szCs w:val="28"/>
    </w:rPr>
  </w:style>
  <w:style w:type="paragraph" w:styleId="Heading2">
    <w:name w:val="heading 2"/>
    <w:basedOn w:val="Normal"/>
    <w:next w:val="Normal"/>
    <w:link w:val="Heading2Char"/>
    <w:uiPriority w:val="1"/>
    <w:unhideWhenUsed/>
    <w:qFormat/>
    <w:rsid w:val="000554B4"/>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0554B4"/>
    <w:pPr>
      <w:keepNext/>
      <w:keepLines/>
      <w:numPr>
        <w:ilvl w:val="2"/>
        <w:numId w:val="10"/>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1"/>
    <w:qFormat/>
    <w:rsid w:val="000554B4"/>
    <w:pPr>
      <w:widowControl w:val="0"/>
      <w:numPr>
        <w:ilvl w:val="3"/>
        <w:numId w:val="10"/>
      </w:numPr>
      <w:autoSpaceDE w:val="0"/>
      <w:autoSpaceDN w:val="0"/>
      <w:adjustRightInd w:val="0"/>
      <w:spacing w:before="78" w:after="0" w:line="240" w:lineRule="auto"/>
      <w:outlineLvl w:val="3"/>
    </w:pPr>
    <w:rPr>
      <w:rFonts w:ascii="Book Antiqua" w:hAnsi="Book Antiqua" w:cs="Book Antiqua"/>
      <w:b/>
      <w:bCs/>
      <w:i/>
      <w:iCs/>
    </w:rPr>
  </w:style>
  <w:style w:type="paragraph" w:styleId="Heading5">
    <w:name w:val="heading 5"/>
    <w:basedOn w:val="Normal"/>
    <w:next w:val="Normal"/>
    <w:link w:val="Heading5Char"/>
    <w:uiPriority w:val="9"/>
    <w:semiHidden/>
    <w:unhideWhenUsed/>
    <w:qFormat/>
    <w:rsid w:val="000554B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B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B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B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B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554B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1"/>
    <w:rsid w:val="000554B4"/>
    <w:rPr>
      <w:rFonts w:ascii="Arial" w:eastAsiaTheme="majorEastAsia" w:hAnsi="Arial" w:cstheme="majorBidi"/>
      <w:b/>
      <w:bCs/>
      <w:color w:val="000080"/>
      <w:sz w:val="36"/>
      <w:szCs w:val="28"/>
    </w:rPr>
  </w:style>
  <w:style w:type="character" w:customStyle="1" w:styleId="Heading2Char">
    <w:name w:val="Heading 2 Char"/>
    <w:basedOn w:val="DefaultParagraphFont"/>
    <w:link w:val="Heading2"/>
    <w:uiPriority w:val="1"/>
    <w:rsid w:val="000554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0554B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1"/>
    <w:rsid w:val="000554B4"/>
    <w:rPr>
      <w:rFonts w:ascii="Book Antiqua" w:eastAsiaTheme="minorEastAsia" w:hAnsi="Book Antiqua" w:cs="Book Antiqua"/>
      <w:b/>
      <w:bCs/>
      <w:i/>
      <w:iCs/>
    </w:rPr>
  </w:style>
  <w:style w:type="character" w:customStyle="1" w:styleId="Heading5Char">
    <w:name w:val="Heading 5 Char"/>
    <w:basedOn w:val="DefaultParagraphFont"/>
    <w:link w:val="Heading5"/>
    <w:uiPriority w:val="9"/>
    <w:semiHidden/>
    <w:rsid w:val="000554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B4"/>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554B4"/>
    <w:pPr>
      <w:suppressAutoHyphens/>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rsid w:val="000554B4"/>
    <w:rPr>
      <w:rFonts w:ascii="Times" w:eastAsia="Times New Roman" w:hAnsi="Times" w:cs="Times New Roman"/>
      <w:b/>
      <w:sz w:val="24"/>
      <w:szCs w:val="20"/>
    </w:rPr>
  </w:style>
  <w:style w:type="paragraph" w:styleId="BodyText">
    <w:name w:val="Body Text"/>
    <w:basedOn w:val="Normal"/>
    <w:link w:val="BodyTextChar"/>
    <w:uiPriority w:val="1"/>
    <w:qFormat/>
    <w:rsid w:val="000554B4"/>
    <w:pPr>
      <w:widowControl w:val="0"/>
      <w:autoSpaceDE w:val="0"/>
      <w:autoSpaceDN w:val="0"/>
      <w:adjustRightInd w:val="0"/>
      <w:spacing w:before="91" w:after="0" w:line="240" w:lineRule="auto"/>
      <w:ind w:left="119"/>
    </w:pPr>
    <w:rPr>
      <w:rFonts w:ascii="Bookman Old Style" w:hAnsi="Bookman Old Style" w:cs="Bookman Old Style"/>
    </w:rPr>
  </w:style>
  <w:style w:type="character" w:customStyle="1" w:styleId="BodyTextChar">
    <w:name w:val="Body Text Char"/>
    <w:basedOn w:val="DefaultParagraphFont"/>
    <w:link w:val="BodyText"/>
    <w:uiPriority w:val="1"/>
    <w:rsid w:val="000554B4"/>
    <w:rPr>
      <w:rFonts w:ascii="Bookman Old Style" w:eastAsiaTheme="minorEastAsia" w:hAnsi="Bookman Old Style" w:cs="Bookman Old Style"/>
    </w:rPr>
  </w:style>
  <w:style w:type="paragraph" w:styleId="NoSpacing">
    <w:name w:val="No Spacing"/>
    <w:link w:val="NoSpacingChar"/>
    <w:uiPriority w:val="1"/>
    <w:qFormat/>
    <w:rsid w:val="000554B4"/>
    <w:pPr>
      <w:spacing w:after="0" w:line="240" w:lineRule="auto"/>
    </w:pPr>
  </w:style>
  <w:style w:type="character" w:customStyle="1" w:styleId="NoSpacingChar">
    <w:name w:val="No Spacing Char"/>
    <w:link w:val="NoSpacing"/>
    <w:uiPriority w:val="1"/>
    <w:locked/>
    <w:rsid w:val="000554B4"/>
  </w:style>
  <w:style w:type="paragraph" w:styleId="ListParagraph">
    <w:name w:val="List Paragraph"/>
    <w:basedOn w:val="Normal"/>
    <w:uiPriority w:val="1"/>
    <w:qFormat/>
    <w:rsid w:val="000554B4"/>
    <w:pPr>
      <w:ind w:left="720"/>
      <w:contextualSpacing/>
    </w:pPr>
  </w:style>
  <w:style w:type="paragraph" w:styleId="TOCHeading">
    <w:name w:val="TOC Heading"/>
    <w:basedOn w:val="Heading1"/>
    <w:next w:val="Normal"/>
    <w:uiPriority w:val="39"/>
    <w:semiHidden/>
    <w:unhideWhenUsed/>
    <w:qFormat/>
    <w:rsid w:val="000554B4"/>
    <w:pPr>
      <w:numPr>
        <w:numId w:val="0"/>
      </w:numPr>
      <w:outlineLvl w:val="9"/>
    </w:pPr>
    <w:rPr>
      <w:rFonts w:asciiTheme="majorHAnsi" w:hAnsiTheme="majorHAnsi"/>
      <w:color w:val="365F91" w:themeColor="accent1" w:themeShade="BF"/>
      <w:sz w:val="28"/>
      <w:lang w:eastAsia="ja-JP"/>
    </w:rPr>
  </w:style>
  <w:style w:type="paragraph" w:styleId="Header">
    <w:name w:val="header"/>
    <w:basedOn w:val="Normal"/>
    <w:link w:val="HeaderChar"/>
    <w:uiPriority w:val="99"/>
    <w:unhideWhenUsed/>
    <w:rsid w:val="00C6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A1"/>
  </w:style>
  <w:style w:type="paragraph" w:styleId="Footer">
    <w:name w:val="footer"/>
    <w:basedOn w:val="Normal"/>
    <w:link w:val="FooterChar"/>
    <w:uiPriority w:val="99"/>
    <w:unhideWhenUsed/>
    <w:rsid w:val="00C6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A1"/>
  </w:style>
  <w:style w:type="character" w:styleId="PageNumber">
    <w:name w:val="page number"/>
    <w:basedOn w:val="DefaultParagraphFont"/>
    <w:rsid w:val="00C6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Mark.T.Molloy</dc:creator>
  <cp:lastModifiedBy>Jason Runge</cp:lastModifiedBy>
  <cp:revision>3</cp:revision>
  <dcterms:created xsi:type="dcterms:W3CDTF">2017-05-08T19:45:00Z</dcterms:created>
  <dcterms:modified xsi:type="dcterms:W3CDTF">2017-05-10T17:40:00Z</dcterms:modified>
</cp:coreProperties>
</file>