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0E465" w14:textId="6F9893CE" w:rsidR="00A852C1" w:rsidRPr="00C3007F" w:rsidRDefault="00DE0C02" w:rsidP="00C3007F">
      <w:pPr>
        <w:keepNext/>
        <w:keepLines/>
        <w:spacing w:before="100" w:beforeAutospacing="1" w:after="480"/>
        <w:outlineLvl w:val="0"/>
        <w:rPr>
          <w:rFonts w:ascii="Arial" w:hAnsi="Arial" w:cs="Arial"/>
          <w:b/>
          <w:sz w:val="24"/>
          <w:szCs w:val="24"/>
        </w:rPr>
      </w:pPr>
      <w:bookmarkStart w:id="0" w:name="_Toc480211799"/>
      <w:bookmarkStart w:id="1" w:name="_GoBack"/>
      <w:bookmarkEnd w:id="1"/>
      <w:r w:rsidRPr="00DE0C02">
        <w:rPr>
          <w:rFonts w:ascii="Arial" w:eastAsiaTheme="majorEastAsia" w:hAnsi="Arial" w:cs="Arial"/>
          <w:b/>
          <w:bCs/>
          <w:sz w:val="36"/>
          <w:szCs w:val="28"/>
        </w:rPr>
        <w:t>ADDITIONAL GUIDANCE ON PERFORMANCE-BASED SERVICE ACQUISITION</w:t>
      </w:r>
      <w:bookmarkEnd w:id="0"/>
    </w:p>
    <w:p w14:paraId="4ECA7676" w14:textId="273B6C4E" w:rsidR="00A852C1" w:rsidRDefault="00AA7177" w:rsidP="00C3007F">
      <w:pPr>
        <w:spacing w:after="0" w:line="280" w:lineRule="exact"/>
        <w:rPr>
          <w:rFonts w:ascii="Arial" w:hAnsi="Arial" w:cs="Arial"/>
          <w:b/>
          <w:sz w:val="24"/>
          <w:szCs w:val="24"/>
        </w:rPr>
      </w:pPr>
      <w:r w:rsidRPr="00282B7E">
        <w:rPr>
          <w:rFonts w:ascii="Arial" w:hAnsi="Arial" w:cs="Arial"/>
          <w:b/>
          <w:sz w:val="24"/>
          <w:szCs w:val="24"/>
        </w:rPr>
        <w:t>GENERAL</w:t>
      </w:r>
    </w:p>
    <w:p w14:paraId="5D19A436" w14:textId="14F6B469" w:rsidR="00A852C1" w:rsidRDefault="00CA2A7E" w:rsidP="00C3007F">
      <w:pPr>
        <w:spacing w:after="400" w:line="280" w:lineRule="exact"/>
        <w:rPr>
          <w:rFonts w:ascii="Arial" w:hAnsi="Arial" w:cs="Arial"/>
          <w:b/>
          <w:sz w:val="24"/>
          <w:szCs w:val="24"/>
        </w:rPr>
      </w:pPr>
      <w:r w:rsidRPr="00C3007F">
        <w:rPr>
          <w:rFonts w:ascii="Arial" w:hAnsi="Arial" w:cs="Arial"/>
        </w:rPr>
        <w:t>Performance-based service acquisition (PBSA) is the preferred method of contracting for services and supplies. PBSA is contracting for results, not just best efforts, and involves structuring all aspects of an acquisition around the purpose of the work to be performed. Essential elements of PBSA include: (1) performance requirements, expressed in either a Performance Work Statement (PWS) or Statement of Objective (SOO); performance requirements described in terms of “what” the required output is and not “how” the work is to be accomplished; (2) performance standards or measurements, which are the criteria for determining whether the performance requirements are met; (3) appropriate performance incentives, either positive or negative; and (4) a surveillance plan that documents the Government’s approach to monitoring the contractor’s performance</w:t>
      </w:r>
      <w:r w:rsidR="00147428">
        <w:rPr>
          <w:rFonts w:ascii="Arial" w:hAnsi="Arial" w:cs="Arial"/>
        </w:rPr>
        <w:t>.</w:t>
      </w:r>
      <w:r w:rsidRPr="00C3007F">
        <w:rPr>
          <w:rFonts w:ascii="Arial" w:hAnsi="Arial" w:cs="Arial"/>
        </w:rPr>
        <w:t xml:space="preserve"> </w:t>
      </w:r>
      <w:r w:rsidR="00147428">
        <w:rPr>
          <w:rFonts w:ascii="Arial" w:hAnsi="Arial" w:cs="Arial"/>
        </w:rPr>
        <w:t xml:space="preserve"> S</w:t>
      </w:r>
      <w:r w:rsidRPr="00C3007F">
        <w:rPr>
          <w:rFonts w:ascii="Arial" w:hAnsi="Arial" w:cs="Arial"/>
        </w:rPr>
        <w:t xml:space="preserve">ee </w:t>
      </w:r>
      <w:hyperlink r:id="rId8" w:history="1">
        <w:r w:rsidRPr="00C3007F">
          <w:rPr>
            <w:rFonts w:ascii="Arial" w:hAnsi="Arial" w:cs="Arial"/>
            <w:color w:val="0000FF" w:themeColor="hyperlink"/>
            <w:u w:val="single"/>
          </w:rPr>
          <w:t>Detailed ProTech Task Order Procedures</w:t>
        </w:r>
      </w:hyperlink>
      <w:r w:rsidRPr="00C3007F">
        <w:rPr>
          <w:rFonts w:ascii="Arial" w:hAnsi="Arial" w:cs="Arial"/>
        </w:rPr>
        <w:t xml:space="preserve"> for further ProTech ordering guidance, including deﬁning performance. The essential PBSA elements are discussed further below.</w:t>
      </w:r>
    </w:p>
    <w:p w14:paraId="707F0DA1" w14:textId="34F6280F" w:rsidR="00A852C1" w:rsidRDefault="00AA7177" w:rsidP="00C3007F">
      <w:pPr>
        <w:spacing w:after="0" w:line="280" w:lineRule="exact"/>
        <w:rPr>
          <w:rFonts w:ascii="Arial" w:hAnsi="Arial" w:cs="Arial"/>
          <w:b/>
          <w:sz w:val="24"/>
          <w:szCs w:val="24"/>
        </w:rPr>
      </w:pPr>
      <w:r w:rsidRPr="00C31575">
        <w:rPr>
          <w:rFonts w:ascii="Arial" w:hAnsi="Arial" w:cs="Arial"/>
          <w:b/>
          <w:sz w:val="24"/>
          <w:szCs w:val="24"/>
        </w:rPr>
        <w:t>POLICY</w:t>
      </w:r>
    </w:p>
    <w:p w14:paraId="4DE94B2F" w14:textId="6A0FC0EE" w:rsidR="00A852C1" w:rsidRDefault="00CA2A7E" w:rsidP="00C3007F">
      <w:pPr>
        <w:spacing w:after="400" w:line="280" w:lineRule="exact"/>
        <w:rPr>
          <w:rFonts w:ascii="Arial" w:hAnsi="Arial" w:cs="Arial"/>
          <w:sz w:val="24"/>
          <w:szCs w:val="24"/>
        </w:rPr>
      </w:pPr>
      <w:r w:rsidRPr="00C3007F">
        <w:rPr>
          <w:rFonts w:ascii="Arial" w:hAnsi="Arial" w:cs="Arial"/>
        </w:rPr>
        <w:t>FAR 37.102 established the policy to use the PBSA approach to the maximum extent practicable, for ALL services, including those acquired under supply contracts. Services exempted from this policy are: architect-engineer, construction, utility and services that are incidental to supply purchases. Use of any other approach has to be justiﬁed to the Task Order contracting ofﬁcer (TO CO). This justiﬁcation to not use PBSA should be addressed in the acquisition plan. However, if there is no acquisition plan, then the TO CO should include within the TO ﬁle a short paragraph describing why PBSA is not being used.</w:t>
      </w:r>
    </w:p>
    <w:p w14:paraId="414E4AE1" w14:textId="7951BDEB" w:rsidR="00A852C1" w:rsidRDefault="00AA7177" w:rsidP="00C3007F">
      <w:pPr>
        <w:spacing w:after="0" w:line="280" w:lineRule="exact"/>
        <w:rPr>
          <w:rFonts w:ascii="Arial" w:hAnsi="Arial" w:cs="Arial"/>
          <w:b/>
          <w:sz w:val="24"/>
          <w:szCs w:val="24"/>
        </w:rPr>
      </w:pPr>
      <w:r w:rsidRPr="00C31575">
        <w:rPr>
          <w:rFonts w:ascii="Arial" w:hAnsi="Arial" w:cs="Arial"/>
          <w:b/>
          <w:sz w:val="24"/>
          <w:szCs w:val="24"/>
        </w:rPr>
        <w:t>CONTRACT TYPE</w:t>
      </w:r>
    </w:p>
    <w:p w14:paraId="2F431434" w14:textId="7957BFD9" w:rsidR="00A852C1" w:rsidRDefault="00CA2A7E" w:rsidP="00C3007F">
      <w:pPr>
        <w:spacing w:after="400" w:line="280" w:lineRule="exact"/>
        <w:rPr>
          <w:rFonts w:ascii="Arial" w:hAnsi="Arial" w:cs="Arial"/>
          <w:sz w:val="24"/>
          <w:szCs w:val="24"/>
        </w:rPr>
      </w:pPr>
      <w:r w:rsidRPr="00C3007F">
        <w:rPr>
          <w:rFonts w:ascii="Arial" w:hAnsi="Arial" w:cs="Arial"/>
        </w:rPr>
        <w:t>The order of precedence set forth in FAR 37.102(a) (2) should be followed for all TOs. Requiring activities should use the contract type most likely to motivate contractors to perform at optimal levels.</w:t>
      </w:r>
    </w:p>
    <w:p w14:paraId="0E8929F4" w14:textId="205688C0" w:rsidR="00A852C1" w:rsidRDefault="00AA7177" w:rsidP="00C3007F">
      <w:pPr>
        <w:spacing w:after="0" w:line="280" w:lineRule="exact"/>
        <w:rPr>
          <w:rFonts w:ascii="Arial" w:hAnsi="Arial" w:cs="Arial"/>
          <w:b/>
          <w:sz w:val="24"/>
          <w:szCs w:val="24"/>
        </w:rPr>
      </w:pPr>
      <w:r w:rsidRPr="00282B7E">
        <w:rPr>
          <w:rFonts w:ascii="Arial" w:hAnsi="Arial" w:cs="Arial"/>
          <w:b/>
          <w:sz w:val="24"/>
          <w:szCs w:val="24"/>
        </w:rPr>
        <w:t>PERFORMANCE WORK STATEMENT</w:t>
      </w:r>
    </w:p>
    <w:p w14:paraId="3F1B3F72" w14:textId="248CE1D6" w:rsidR="00A852C1" w:rsidRPr="00C3007F" w:rsidRDefault="00CA2A7E" w:rsidP="00C3007F">
      <w:pPr>
        <w:spacing w:after="0" w:line="280" w:lineRule="exact"/>
        <w:rPr>
          <w:rFonts w:ascii="Arial" w:hAnsi="Arial" w:cs="Arial"/>
        </w:rPr>
      </w:pPr>
      <w:r w:rsidRPr="00C3007F">
        <w:rPr>
          <w:rFonts w:ascii="Arial" w:hAnsi="Arial" w:cs="Arial"/>
        </w:rPr>
        <w:t xml:space="preserve">The PWS identiﬁes the technical, functional and performance characteristics of the Government’s requirements. The PWS describes the work in terms of the purpose of the work to be performed, rather than either “how” the work is to be accomplished or the number of hours to be provided. The format for the PWS is similar to the traditional Statement of Work (SOW). In addition, the PWS will include performance standards, incentives, and a Quality Assurance Surveillance Plan (QASP) to monitor and measure program performance at systematic intervals and provide quantiﬁable data needed for informed decision-making. </w:t>
      </w:r>
      <w:r w:rsidR="00147428">
        <w:rPr>
          <w:rFonts w:ascii="Arial" w:hAnsi="Arial" w:cs="Arial"/>
        </w:rPr>
        <w:t xml:space="preserve"> </w:t>
      </w:r>
      <w:r w:rsidRPr="00C3007F">
        <w:rPr>
          <w:rFonts w:ascii="Arial" w:hAnsi="Arial" w:cs="Arial"/>
        </w:rPr>
        <w:t xml:space="preserve">See  </w:t>
      </w:r>
      <w:hyperlink r:id="rId9" w:history="1">
        <w:r w:rsidRPr="00C3007F">
          <w:rPr>
            <w:rFonts w:ascii="Arial" w:hAnsi="Arial" w:cs="Arial"/>
            <w:color w:val="0000FF" w:themeColor="hyperlink"/>
            <w:u w:val="single"/>
          </w:rPr>
          <w:t>Sample Format for a Performance Work Statement (PWS)</w:t>
        </w:r>
      </w:hyperlink>
      <w:r w:rsidRPr="00C3007F">
        <w:rPr>
          <w:rFonts w:ascii="Arial" w:hAnsi="Arial" w:cs="Arial"/>
        </w:rPr>
        <w:t xml:space="preserve"> for further guidance on the PWS.</w:t>
      </w:r>
    </w:p>
    <w:p w14:paraId="29BF2E99" w14:textId="77777777" w:rsidR="00147428" w:rsidRDefault="00147428" w:rsidP="00C3007F">
      <w:pPr>
        <w:spacing w:after="400" w:line="280" w:lineRule="exact"/>
        <w:rPr>
          <w:rFonts w:ascii="Arial" w:hAnsi="Arial" w:cs="Arial"/>
        </w:rPr>
      </w:pPr>
    </w:p>
    <w:p w14:paraId="266B6E96" w14:textId="35BFC0FF" w:rsidR="00147428" w:rsidRDefault="00A64AF6" w:rsidP="00147428">
      <w:pPr>
        <w:spacing w:after="0" w:line="240" w:lineRule="auto"/>
        <w:rPr>
          <w:rFonts w:ascii="Arial" w:hAnsi="Arial" w:cs="Arial"/>
        </w:rPr>
      </w:pPr>
      <w:r w:rsidRPr="00C3007F">
        <w:rPr>
          <w:rFonts w:ascii="Arial" w:hAnsi="Arial" w:cs="Arial"/>
          <w:b/>
          <w:sz w:val="24"/>
          <w:szCs w:val="24"/>
        </w:rPr>
        <w:t>P</w:t>
      </w:r>
      <w:r>
        <w:rPr>
          <w:rFonts w:ascii="Arial" w:hAnsi="Arial" w:cs="Arial"/>
          <w:b/>
          <w:sz w:val="24"/>
          <w:szCs w:val="24"/>
        </w:rPr>
        <w:t>ERFORMANCE</w:t>
      </w:r>
      <w:r w:rsidRPr="00C3007F">
        <w:rPr>
          <w:rFonts w:ascii="Arial" w:hAnsi="Arial" w:cs="Arial"/>
          <w:b/>
          <w:sz w:val="24"/>
          <w:szCs w:val="24"/>
        </w:rPr>
        <w:t xml:space="preserve"> S</w:t>
      </w:r>
      <w:r>
        <w:rPr>
          <w:rFonts w:ascii="Arial" w:hAnsi="Arial" w:cs="Arial"/>
          <w:b/>
          <w:sz w:val="24"/>
          <w:szCs w:val="24"/>
        </w:rPr>
        <w:t>TANDARDS</w:t>
      </w:r>
      <w:r w:rsidR="00CA2A7E" w:rsidRPr="00C3007F">
        <w:rPr>
          <w:rFonts w:ascii="Arial" w:hAnsi="Arial" w:cs="Arial"/>
          <w:b/>
          <w:sz w:val="24"/>
          <w:szCs w:val="24"/>
        </w:rPr>
        <w:t>/</w:t>
      </w:r>
      <w:r w:rsidRPr="00C3007F">
        <w:rPr>
          <w:rFonts w:ascii="Arial" w:hAnsi="Arial" w:cs="Arial"/>
          <w:b/>
          <w:sz w:val="24"/>
          <w:szCs w:val="24"/>
        </w:rPr>
        <w:t>M</w:t>
      </w:r>
      <w:r>
        <w:rPr>
          <w:rFonts w:ascii="Arial" w:hAnsi="Arial" w:cs="Arial"/>
          <w:b/>
          <w:sz w:val="24"/>
          <w:szCs w:val="24"/>
        </w:rPr>
        <w:t>ETRICS</w:t>
      </w:r>
    </w:p>
    <w:p w14:paraId="135DCF09" w14:textId="57653922" w:rsidR="00A852C1" w:rsidRPr="00C3007F" w:rsidRDefault="00CA2A7E" w:rsidP="00147428">
      <w:pPr>
        <w:spacing w:after="0" w:line="240" w:lineRule="auto"/>
        <w:rPr>
          <w:rFonts w:ascii="Arial" w:hAnsi="Arial" w:cs="Arial"/>
        </w:rPr>
      </w:pPr>
      <w:r w:rsidRPr="00C3007F">
        <w:rPr>
          <w:rFonts w:ascii="Arial" w:hAnsi="Arial" w:cs="Arial"/>
        </w:rPr>
        <w:t xml:space="preserve">Performance standards or metrics reﬂect the level of service required by the Government to meet performance objectives. Standards may be objective (e.g., response time) or subjective, </w:t>
      </w:r>
      <w:r w:rsidR="00147428">
        <w:rPr>
          <w:rFonts w:ascii="Arial" w:hAnsi="Arial" w:cs="Arial"/>
        </w:rPr>
        <w:t>(</w:t>
      </w:r>
      <w:r w:rsidRPr="00C3007F">
        <w:rPr>
          <w:rFonts w:ascii="Arial" w:hAnsi="Arial" w:cs="Arial"/>
        </w:rPr>
        <w:t>e.g., customer satisfaction</w:t>
      </w:r>
      <w:r w:rsidR="00147428">
        <w:rPr>
          <w:rFonts w:ascii="Arial" w:hAnsi="Arial" w:cs="Arial"/>
        </w:rPr>
        <w:t>)</w:t>
      </w:r>
      <w:r w:rsidRPr="00C3007F">
        <w:rPr>
          <w:rFonts w:ascii="Arial" w:hAnsi="Arial" w:cs="Arial"/>
        </w:rPr>
        <w:t>. Service Level Agreements are performance standards that translate customers</w:t>
      </w:r>
      <w:r w:rsidR="00147428">
        <w:rPr>
          <w:rFonts w:ascii="Arial" w:hAnsi="Arial" w:cs="Arial"/>
        </w:rPr>
        <w:t>’</w:t>
      </w:r>
      <w:r w:rsidRPr="00C3007F">
        <w:rPr>
          <w:rFonts w:ascii="Arial" w:hAnsi="Arial" w:cs="Arial"/>
        </w:rPr>
        <w:t xml:space="preserve"> priorities into measurable vendor performance outcomes.</w:t>
      </w:r>
    </w:p>
    <w:p w14:paraId="492C8FD7" w14:textId="77777777" w:rsidR="00147428" w:rsidRDefault="00147428" w:rsidP="00C3007F">
      <w:pPr>
        <w:spacing w:line="280" w:lineRule="exact"/>
        <w:rPr>
          <w:rFonts w:ascii="Arial" w:hAnsi="Arial" w:cs="Arial"/>
          <w:sz w:val="24"/>
          <w:szCs w:val="24"/>
        </w:rPr>
      </w:pPr>
    </w:p>
    <w:p w14:paraId="6C63D59C" w14:textId="47C00324" w:rsidR="00A852C1" w:rsidRDefault="00AA7177" w:rsidP="00C3007F">
      <w:pPr>
        <w:spacing w:after="0" w:line="280" w:lineRule="exact"/>
        <w:rPr>
          <w:rFonts w:ascii="Arial" w:hAnsi="Arial" w:cs="Arial"/>
          <w:b/>
          <w:sz w:val="24"/>
          <w:szCs w:val="24"/>
        </w:rPr>
      </w:pPr>
      <w:r w:rsidRPr="00C31575">
        <w:rPr>
          <w:rFonts w:ascii="Arial" w:hAnsi="Arial" w:cs="Arial"/>
          <w:b/>
          <w:sz w:val="24"/>
          <w:szCs w:val="24"/>
        </w:rPr>
        <w:t>PERFORMANCE STANDARDS</w:t>
      </w:r>
    </w:p>
    <w:p w14:paraId="146083D8" w14:textId="536CF067" w:rsidR="00A852C1" w:rsidRPr="00C3007F" w:rsidRDefault="00A64AF6" w:rsidP="00A64AF6">
      <w:pPr>
        <w:spacing w:after="0" w:line="280" w:lineRule="exact"/>
        <w:contextualSpacing/>
        <w:rPr>
          <w:rFonts w:ascii="Arial" w:hAnsi="Arial" w:cs="Arial"/>
        </w:rPr>
      </w:pPr>
      <w:r>
        <w:rPr>
          <w:rFonts w:ascii="Arial" w:hAnsi="Arial" w:cs="Arial"/>
        </w:rPr>
        <w:t>Performance standards considerations include the u</w:t>
      </w:r>
      <w:r w:rsidR="00CA2A7E" w:rsidRPr="00C3007F">
        <w:rPr>
          <w:rFonts w:ascii="Arial" w:hAnsi="Arial" w:cs="Arial"/>
        </w:rPr>
        <w:t xml:space="preserve">se commercial standards where practicable </w:t>
      </w:r>
      <w:r w:rsidR="00147428">
        <w:rPr>
          <w:rFonts w:ascii="Arial" w:hAnsi="Arial" w:cs="Arial"/>
        </w:rPr>
        <w:t>(</w:t>
      </w:r>
      <w:r w:rsidR="00CA2A7E" w:rsidRPr="00C3007F">
        <w:rPr>
          <w:rFonts w:ascii="Arial" w:hAnsi="Arial" w:cs="Arial"/>
        </w:rPr>
        <w:t>e.g., ISO 9000</w:t>
      </w:r>
      <w:r w:rsidR="00147428">
        <w:rPr>
          <w:rFonts w:ascii="Arial" w:hAnsi="Arial" w:cs="Arial"/>
        </w:rPr>
        <w:t>)</w:t>
      </w:r>
      <w:r>
        <w:rPr>
          <w:rFonts w:ascii="Arial" w:hAnsi="Arial" w:cs="Arial"/>
        </w:rPr>
        <w:t>; e</w:t>
      </w:r>
      <w:r w:rsidRPr="00C3007F">
        <w:rPr>
          <w:rFonts w:ascii="Arial" w:hAnsi="Arial" w:cs="Arial"/>
        </w:rPr>
        <w:t>nsur</w:t>
      </w:r>
      <w:r>
        <w:rPr>
          <w:rFonts w:ascii="Arial" w:hAnsi="Arial" w:cs="Arial"/>
        </w:rPr>
        <w:t>ing</w:t>
      </w:r>
      <w:r w:rsidRPr="00C3007F">
        <w:rPr>
          <w:rFonts w:ascii="Arial" w:hAnsi="Arial" w:cs="Arial"/>
        </w:rPr>
        <w:t xml:space="preserve"> </w:t>
      </w:r>
      <w:r w:rsidR="00CA2A7E" w:rsidRPr="00C3007F">
        <w:rPr>
          <w:rFonts w:ascii="Arial" w:hAnsi="Arial" w:cs="Arial"/>
        </w:rPr>
        <w:t xml:space="preserve">the standard is needed and not unduly burdensome; </w:t>
      </w:r>
      <w:r w:rsidRPr="00C3007F">
        <w:rPr>
          <w:rFonts w:ascii="Arial" w:hAnsi="Arial" w:cs="Arial"/>
        </w:rPr>
        <w:t>and</w:t>
      </w:r>
      <w:r>
        <w:rPr>
          <w:rFonts w:ascii="Arial" w:hAnsi="Arial" w:cs="Arial"/>
        </w:rPr>
        <w:t xml:space="preserve"> that the standard is</w:t>
      </w:r>
      <w:r w:rsidR="00CA2A7E" w:rsidRPr="00C3007F">
        <w:rPr>
          <w:rFonts w:ascii="Arial" w:hAnsi="Arial" w:cs="Arial"/>
        </w:rPr>
        <w:t xml:space="preserve"> measurable, easy to apply, and attainable.</w:t>
      </w:r>
    </w:p>
    <w:p w14:paraId="55AEC052" w14:textId="77777777" w:rsidR="00A852C1" w:rsidRPr="00C3007F" w:rsidRDefault="00A852C1" w:rsidP="00C3007F">
      <w:pPr>
        <w:spacing w:after="160" w:line="280" w:lineRule="exact"/>
        <w:ind w:left="720"/>
        <w:contextualSpacing/>
        <w:rPr>
          <w:rFonts w:ascii="Arial" w:hAnsi="Arial" w:cs="Arial"/>
        </w:rPr>
      </w:pPr>
    </w:p>
    <w:p w14:paraId="3B10EAC5" w14:textId="0401F9DE" w:rsidR="00A852C1" w:rsidRPr="00C3007F" w:rsidRDefault="00CA2A7E" w:rsidP="00C3007F">
      <w:pPr>
        <w:spacing w:after="240" w:line="280" w:lineRule="exact"/>
        <w:rPr>
          <w:rFonts w:ascii="Arial" w:hAnsi="Arial" w:cs="Arial"/>
        </w:rPr>
      </w:pPr>
      <w:r w:rsidRPr="00C3007F">
        <w:rPr>
          <w:rFonts w:ascii="Arial" w:hAnsi="Arial" w:cs="Arial"/>
        </w:rPr>
        <w:t>If performance standards are not available, the PWS may include a requirement for the contractor to provide a performance matrix, as a deliverable, to assist in the development of performance standards for future TOs.</w:t>
      </w:r>
    </w:p>
    <w:p w14:paraId="352C1565" w14:textId="4A6AA803" w:rsidR="00A852C1" w:rsidRDefault="00CA2A7E" w:rsidP="00C3007F">
      <w:pPr>
        <w:spacing w:after="400" w:line="280" w:lineRule="exact"/>
        <w:rPr>
          <w:rFonts w:ascii="Arial" w:hAnsi="Arial" w:cs="Arial"/>
          <w:sz w:val="24"/>
          <w:szCs w:val="24"/>
        </w:rPr>
      </w:pPr>
      <w:r w:rsidRPr="00C3007F">
        <w:rPr>
          <w:rFonts w:ascii="Arial" w:hAnsi="Arial" w:cs="Arial"/>
        </w:rPr>
        <w:t>Performance Incentives - Incentives may be positive or negative; monetary or non-monetary. Note: If a ﬁnancial incentive is promised, funding for the incentive must be committed at time of TO award.</w:t>
      </w:r>
    </w:p>
    <w:p w14:paraId="122A5812" w14:textId="7993F1A6" w:rsidR="00A852C1" w:rsidRDefault="00F83E34" w:rsidP="00C3007F">
      <w:pPr>
        <w:spacing w:after="0" w:line="280" w:lineRule="exact"/>
        <w:rPr>
          <w:rFonts w:ascii="Arial" w:hAnsi="Arial" w:cs="Arial"/>
          <w:b/>
          <w:sz w:val="24"/>
          <w:szCs w:val="24"/>
        </w:rPr>
      </w:pPr>
      <w:r w:rsidRPr="00282B7E">
        <w:rPr>
          <w:rFonts w:ascii="Arial" w:hAnsi="Arial" w:cs="Arial"/>
          <w:b/>
          <w:sz w:val="24"/>
          <w:szCs w:val="24"/>
        </w:rPr>
        <w:t>EXAMPLES OF MONETARY INCENTIVES INCLUDE:</w:t>
      </w:r>
    </w:p>
    <w:p w14:paraId="7D817756" w14:textId="77777777" w:rsidR="00A852C1" w:rsidRPr="00C3007F" w:rsidRDefault="00CA2A7E" w:rsidP="00C3007F">
      <w:pPr>
        <w:numPr>
          <w:ilvl w:val="2"/>
          <w:numId w:val="12"/>
        </w:numPr>
        <w:tabs>
          <w:tab w:val="left" w:pos="720"/>
        </w:tabs>
        <w:spacing w:after="160" w:line="280" w:lineRule="exact"/>
        <w:ind w:left="720"/>
        <w:contextualSpacing/>
        <w:rPr>
          <w:rFonts w:ascii="Arial" w:hAnsi="Arial" w:cs="Arial"/>
        </w:rPr>
      </w:pPr>
      <w:r w:rsidRPr="00C3007F">
        <w:rPr>
          <w:rFonts w:ascii="Arial" w:hAnsi="Arial" w:cs="Arial"/>
        </w:rPr>
        <w:t>Incentive fees;</w:t>
      </w:r>
    </w:p>
    <w:p w14:paraId="6ACC2569" w14:textId="77777777" w:rsidR="00A852C1" w:rsidRPr="00C3007F" w:rsidRDefault="00CA2A7E" w:rsidP="00C3007F">
      <w:pPr>
        <w:numPr>
          <w:ilvl w:val="2"/>
          <w:numId w:val="12"/>
        </w:numPr>
        <w:tabs>
          <w:tab w:val="left" w:pos="720"/>
        </w:tabs>
        <w:spacing w:after="160" w:line="280" w:lineRule="exact"/>
        <w:ind w:left="720"/>
        <w:contextualSpacing/>
        <w:rPr>
          <w:rFonts w:ascii="Arial" w:hAnsi="Arial" w:cs="Arial"/>
        </w:rPr>
      </w:pPr>
      <w:r w:rsidRPr="00C3007F">
        <w:rPr>
          <w:rFonts w:ascii="Arial" w:hAnsi="Arial" w:cs="Arial"/>
        </w:rPr>
        <w:t>Share-in-savings; and</w:t>
      </w:r>
    </w:p>
    <w:p w14:paraId="63351649" w14:textId="09307692" w:rsidR="00A852C1" w:rsidRDefault="00CA2A7E" w:rsidP="00C3007F">
      <w:pPr>
        <w:numPr>
          <w:ilvl w:val="2"/>
          <w:numId w:val="12"/>
        </w:numPr>
        <w:tabs>
          <w:tab w:val="left" w:pos="720"/>
        </w:tabs>
        <w:spacing w:after="400" w:line="280" w:lineRule="exact"/>
        <w:ind w:left="720"/>
        <w:contextualSpacing/>
        <w:rPr>
          <w:rFonts w:ascii="Arial" w:hAnsi="Arial" w:cs="Arial"/>
          <w:sz w:val="24"/>
          <w:szCs w:val="24"/>
        </w:rPr>
      </w:pPr>
      <w:r w:rsidRPr="00C3007F">
        <w:rPr>
          <w:rFonts w:ascii="Arial" w:hAnsi="Arial" w:cs="Arial"/>
        </w:rPr>
        <w:t>Negative monetary incentives (can be included if the desired results are not achieved - deduction should be equal to the value of the service lost).</w:t>
      </w:r>
    </w:p>
    <w:p w14:paraId="06A4E68F" w14:textId="77777777" w:rsidR="00A852C1" w:rsidRDefault="00A852C1" w:rsidP="00C3007F">
      <w:pPr>
        <w:tabs>
          <w:tab w:val="left" w:pos="720"/>
        </w:tabs>
        <w:spacing w:after="160" w:line="280" w:lineRule="exact"/>
        <w:ind w:left="720"/>
        <w:contextualSpacing/>
        <w:rPr>
          <w:rFonts w:ascii="Arial" w:hAnsi="Arial" w:cs="Arial"/>
          <w:sz w:val="24"/>
          <w:szCs w:val="24"/>
        </w:rPr>
      </w:pPr>
    </w:p>
    <w:p w14:paraId="7F2DAEF9" w14:textId="77777777" w:rsidR="00A852C1" w:rsidRDefault="00F83E34" w:rsidP="00C3007F">
      <w:pPr>
        <w:tabs>
          <w:tab w:val="left" w:pos="720"/>
        </w:tabs>
        <w:spacing w:before="160" w:after="0" w:line="280" w:lineRule="exact"/>
        <w:rPr>
          <w:rFonts w:ascii="Arial" w:hAnsi="Arial" w:cs="Arial"/>
          <w:b/>
          <w:sz w:val="24"/>
          <w:szCs w:val="24"/>
        </w:rPr>
      </w:pPr>
      <w:r w:rsidRPr="00C31575">
        <w:rPr>
          <w:rFonts w:ascii="Arial" w:hAnsi="Arial" w:cs="Arial"/>
          <w:b/>
          <w:sz w:val="24"/>
          <w:szCs w:val="24"/>
        </w:rPr>
        <w:t>EXAMPLES OF NON-MONETARY INCENTIVES INCLUDE:</w:t>
      </w:r>
    </w:p>
    <w:p w14:paraId="169E7B0C" w14:textId="77777777" w:rsidR="00A852C1" w:rsidRPr="00C3007F" w:rsidRDefault="00CA2A7E" w:rsidP="00C3007F">
      <w:pPr>
        <w:numPr>
          <w:ilvl w:val="2"/>
          <w:numId w:val="13"/>
        </w:numPr>
        <w:tabs>
          <w:tab w:val="left" w:pos="720"/>
        </w:tabs>
        <w:spacing w:after="0" w:line="280" w:lineRule="exact"/>
        <w:ind w:left="720"/>
        <w:contextualSpacing/>
        <w:rPr>
          <w:rFonts w:ascii="Arial" w:hAnsi="Arial" w:cs="Arial"/>
        </w:rPr>
      </w:pPr>
      <w:r w:rsidRPr="00C3007F">
        <w:rPr>
          <w:rFonts w:ascii="Arial" w:hAnsi="Arial" w:cs="Arial"/>
        </w:rPr>
        <w:t>Revised schedule;</w:t>
      </w:r>
    </w:p>
    <w:p w14:paraId="58E3471C" w14:textId="77777777" w:rsidR="00A852C1" w:rsidRPr="00C3007F" w:rsidRDefault="00CA2A7E" w:rsidP="00C3007F">
      <w:pPr>
        <w:numPr>
          <w:ilvl w:val="2"/>
          <w:numId w:val="13"/>
        </w:numPr>
        <w:tabs>
          <w:tab w:val="left" w:pos="720"/>
        </w:tabs>
        <w:spacing w:after="0" w:line="280" w:lineRule="exact"/>
        <w:ind w:left="720"/>
        <w:contextualSpacing/>
        <w:rPr>
          <w:rFonts w:ascii="Arial" w:hAnsi="Arial" w:cs="Arial"/>
        </w:rPr>
      </w:pPr>
      <w:r w:rsidRPr="00C3007F">
        <w:rPr>
          <w:rFonts w:ascii="Arial" w:hAnsi="Arial" w:cs="Arial"/>
        </w:rPr>
        <w:t>Positive performance evaluation.</w:t>
      </w:r>
    </w:p>
    <w:p w14:paraId="222BEF84" w14:textId="77777777" w:rsidR="00A852C1" w:rsidRPr="00C3007F" w:rsidRDefault="00CA2A7E" w:rsidP="00C3007F">
      <w:pPr>
        <w:numPr>
          <w:ilvl w:val="2"/>
          <w:numId w:val="13"/>
        </w:numPr>
        <w:tabs>
          <w:tab w:val="left" w:pos="720"/>
        </w:tabs>
        <w:spacing w:after="0" w:line="280" w:lineRule="exact"/>
        <w:ind w:left="720"/>
        <w:contextualSpacing/>
        <w:rPr>
          <w:rFonts w:ascii="Arial" w:hAnsi="Arial" w:cs="Arial"/>
        </w:rPr>
      </w:pPr>
      <w:r w:rsidRPr="00C3007F">
        <w:rPr>
          <w:rFonts w:ascii="Arial" w:hAnsi="Arial" w:cs="Arial"/>
        </w:rPr>
        <w:t>Automatic extension of contract term or option exercise;</w:t>
      </w:r>
    </w:p>
    <w:p w14:paraId="0A90557A" w14:textId="77777777" w:rsidR="00A852C1" w:rsidRPr="00C3007F" w:rsidRDefault="00CA2A7E" w:rsidP="00C3007F">
      <w:pPr>
        <w:numPr>
          <w:ilvl w:val="2"/>
          <w:numId w:val="13"/>
        </w:numPr>
        <w:tabs>
          <w:tab w:val="left" w:pos="720"/>
        </w:tabs>
        <w:spacing w:after="0" w:line="280" w:lineRule="exact"/>
        <w:ind w:left="720"/>
        <w:contextualSpacing/>
        <w:rPr>
          <w:rFonts w:ascii="Arial" w:hAnsi="Arial" w:cs="Arial"/>
        </w:rPr>
      </w:pPr>
      <w:r w:rsidRPr="00C3007F">
        <w:rPr>
          <w:rFonts w:ascii="Arial" w:hAnsi="Arial" w:cs="Arial"/>
        </w:rPr>
        <w:t>Lengthened contract term (award term contracting) or purchase of extra items (award purchase); and</w:t>
      </w:r>
    </w:p>
    <w:p w14:paraId="5E2BD77A" w14:textId="77777777" w:rsidR="00A852C1" w:rsidRPr="00C3007F" w:rsidRDefault="00CA2A7E" w:rsidP="00C3007F">
      <w:pPr>
        <w:numPr>
          <w:ilvl w:val="2"/>
          <w:numId w:val="13"/>
        </w:numPr>
        <w:tabs>
          <w:tab w:val="left" w:pos="720"/>
        </w:tabs>
        <w:spacing w:after="400" w:line="280" w:lineRule="exact"/>
        <w:ind w:left="720"/>
        <w:contextualSpacing/>
        <w:rPr>
          <w:rFonts w:ascii="Arial" w:hAnsi="Arial" w:cs="Arial"/>
        </w:rPr>
      </w:pPr>
      <w:r w:rsidRPr="00C3007F">
        <w:rPr>
          <w:rFonts w:ascii="Arial" w:hAnsi="Arial" w:cs="Arial"/>
        </w:rPr>
        <w:t>Letters of appreciation to individual employees that may translate to bonuses.</w:t>
      </w:r>
    </w:p>
    <w:p w14:paraId="52F638F6" w14:textId="77777777" w:rsidR="00A852C1" w:rsidRPr="00C3007F" w:rsidRDefault="00A852C1" w:rsidP="00C3007F">
      <w:pPr>
        <w:tabs>
          <w:tab w:val="left" w:pos="720"/>
        </w:tabs>
        <w:spacing w:after="0" w:line="280" w:lineRule="exact"/>
        <w:ind w:left="720"/>
        <w:contextualSpacing/>
        <w:rPr>
          <w:rFonts w:ascii="Arial" w:hAnsi="Arial" w:cs="Arial"/>
        </w:rPr>
      </w:pPr>
    </w:p>
    <w:p w14:paraId="4AF426CF" w14:textId="77777777" w:rsidR="00A852C1" w:rsidRDefault="00D20898" w:rsidP="00C3007F">
      <w:pPr>
        <w:spacing w:after="0" w:line="280" w:lineRule="exact"/>
        <w:rPr>
          <w:rFonts w:ascii="Arial" w:hAnsi="Arial" w:cs="Arial"/>
          <w:sz w:val="24"/>
          <w:szCs w:val="24"/>
        </w:rPr>
      </w:pPr>
      <w:r w:rsidRPr="00282B7E">
        <w:rPr>
          <w:rFonts w:ascii="Arial" w:hAnsi="Arial" w:cs="Arial"/>
          <w:b/>
          <w:sz w:val="24"/>
          <w:szCs w:val="24"/>
        </w:rPr>
        <w:t>QUALITY ASSURANCE SURVEILLANCE PLAN (QASP)</w:t>
      </w:r>
    </w:p>
    <w:p w14:paraId="70DDEA0B" w14:textId="18552511" w:rsidR="00A852C1" w:rsidRPr="00C3007F" w:rsidRDefault="00CA2A7E" w:rsidP="00C3007F">
      <w:pPr>
        <w:spacing w:after="400" w:line="280" w:lineRule="exact"/>
        <w:rPr>
          <w:rFonts w:ascii="Arial" w:hAnsi="Arial" w:cs="Arial"/>
          <w:b/>
        </w:rPr>
      </w:pPr>
      <w:r w:rsidRPr="00C3007F">
        <w:rPr>
          <w:rFonts w:ascii="Arial" w:hAnsi="Arial" w:cs="Arial"/>
        </w:rPr>
        <w:t xml:space="preserve">The QASP is a plan for assessing contractor performance to ensure compliance with the Government’s performance objectives. It describes the surveillance schedule, methods, performance measures, and incentives. The QASP is included as part of the PWS and inspects the outputs, not the process. In a QASP, the level of surveillance should be commensurate with the dollar amount, risk, and complexity of the requirement. </w:t>
      </w:r>
      <w:r w:rsidR="00147428">
        <w:rPr>
          <w:rFonts w:ascii="Arial" w:hAnsi="Arial" w:cs="Arial"/>
        </w:rPr>
        <w:t xml:space="preserve"> </w:t>
      </w:r>
      <w:r w:rsidRPr="00C3007F">
        <w:rPr>
          <w:rFonts w:ascii="Arial" w:hAnsi="Arial" w:cs="Arial"/>
        </w:rPr>
        <w:t xml:space="preserve">A QASP Sample Format is provided at ProTech </w:t>
      </w:r>
      <w:r w:rsidR="00147428">
        <w:rPr>
          <w:rFonts w:ascii="Arial" w:hAnsi="Arial" w:cs="Arial"/>
        </w:rPr>
        <w:t>w</w:t>
      </w:r>
      <w:r w:rsidRPr="00C3007F">
        <w:rPr>
          <w:rFonts w:ascii="Arial" w:hAnsi="Arial" w:cs="Arial"/>
        </w:rPr>
        <w:t>ebsite</w:t>
      </w:r>
      <w:r w:rsidR="004414B9">
        <w:rPr>
          <w:rFonts w:ascii="Arial" w:hAnsi="Arial" w:cs="Arial"/>
        </w:rPr>
        <w:t xml:space="preserve"> </w:t>
      </w:r>
      <w:hyperlink r:id="rId10" w:history="1">
        <w:r w:rsidR="004414B9" w:rsidRPr="004414B9">
          <w:rPr>
            <w:rStyle w:val="Hyperlink"/>
            <w:rFonts w:ascii="Arial" w:hAnsi="Arial" w:cs="Arial"/>
          </w:rPr>
          <w:t>QASP Template</w:t>
        </w:r>
      </w:hyperlink>
      <w:r w:rsidRPr="00C3007F">
        <w:rPr>
          <w:rFonts w:ascii="Arial" w:hAnsi="Arial" w:cs="Arial"/>
        </w:rPr>
        <w:t>.</w:t>
      </w:r>
    </w:p>
    <w:p w14:paraId="24BC0D47" w14:textId="433441D2" w:rsidR="00A852C1" w:rsidRPr="00C3007F" w:rsidRDefault="00CA2A7E" w:rsidP="00C3007F">
      <w:pPr>
        <w:spacing w:after="0" w:line="280" w:lineRule="exact"/>
        <w:rPr>
          <w:rFonts w:ascii="Arial" w:hAnsi="Arial" w:cs="Arial"/>
          <w:b/>
        </w:rPr>
      </w:pPr>
      <w:r w:rsidRPr="00C3007F">
        <w:rPr>
          <w:rFonts w:ascii="Arial" w:hAnsi="Arial" w:cs="Arial"/>
          <w:b/>
          <w:sz w:val="24"/>
          <w:szCs w:val="24"/>
        </w:rPr>
        <w:lastRenderedPageBreak/>
        <w:t>STATEMENT OF OBJECTIVES</w:t>
      </w:r>
    </w:p>
    <w:p w14:paraId="4D5B6EF7" w14:textId="7392ED13" w:rsidR="00A852C1" w:rsidRPr="00C3007F" w:rsidRDefault="00CA2A7E" w:rsidP="00C3007F">
      <w:pPr>
        <w:spacing w:after="60" w:line="280" w:lineRule="exact"/>
        <w:rPr>
          <w:rFonts w:ascii="Arial" w:hAnsi="Arial" w:cs="Arial"/>
        </w:rPr>
      </w:pPr>
      <w:r w:rsidRPr="00C3007F">
        <w:rPr>
          <w:rFonts w:ascii="Arial" w:hAnsi="Arial" w:cs="Arial"/>
        </w:rPr>
        <w:t>The SOO is an alternative to the PWS. It is a very brief document (two</w:t>
      </w:r>
      <w:r w:rsidR="00BE3396">
        <w:rPr>
          <w:rFonts w:ascii="Arial" w:hAnsi="Arial" w:cs="Arial"/>
        </w:rPr>
        <w:t>-</w:t>
      </w:r>
      <w:r w:rsidRPr="00C3007F">
        <w:rPr>
          <w:rFonts w:ascii="Arial" w:hAnsi="Arial" w:cs="Arial"/>
        </w:rPr>
        <w:t>to</w:t>
      </w:r>
      <w:r w:rsidR="00BE3396">
        <w:rPr>
          <w:rFonts w:ascii="Arial" w:hAnsi="Arial" w:cs="Arial"/>
        </w:rPr>
        <w:t>-</w:t>
      </w:r>
      <w:r w:rsidRPr="00C3007F">
        <w:rPr>
          <w:rFonts w:ascii="Arial" w:hAnsi="Arial" w:cs="Arial"/>
        </w:rPr>
        <w:t>ten pages, depending upon complexity) which summarizes key agency goals and outcomes, to which contractors respond. It is different from a PWS in that contractors propose their solutions (including a technical approach, performance standards, incentives, and a QASP) based upon commercial practices. At a minimum, a SOO should contain the following information:</w:t>
      </w:r>
    </w:p>
    <w:p w14:paraId="47BCDEBC" w14:textId="77777777" w:rsidR="00A852C1" w:rsidRPr="00C3007F" w:rsidRDefault="00CA2A7E" w:rsidP="00C3007F">
      <w:pPr>
        <w:numPr>
          <w:ilvl w:val="1"/>
          <w:numId w:val="14"/>
        </w:numPr>
        <w:spacing w:after="0" w:line="280" w:lineRule="exact"/>
        <w:ind w:left="720"/>
        <w:contextualSpacing/>
        <w:rPr>
          <w:rFonts w:ascii="Arial" w:hAnsi="Arial" w:cs="Arial"/>
        </w:rPr>
      </w:pPr>
      <w:r w:rsidRPr="00C3007F">
        <w:rPr>
          <w:rFonts w:ascii="Arial" w:hAnsi="Arial" w:cs="Arial"/>
        </w:rPr>
        <w:t>Purpose;</w:t>
      </w:r>
    </w:p>
    <w:p w14:paraId="33B9A671" w14:textId="0A9AE6BF" w:rsidR="00A852C1" w:rsidRPr="00C3007F" w:rsidRDefault="00CA2A7E" w:rsidP="00C3007F">
      <w:pPr>
        <w:numPr>
          <w:ilvl w:val="1"/>
          <w:numId w:val="14"/>
        </w:numPr>
        <w:spacing w:after="0" w:line="280" w:lineRule="exact"/>
        <w:ind w:left="720"/>
        <w:contextualSpacing/>
        <w:rPr>
          <w:rFonts w:ascii="Arial" w:hAnsi="Arial" w:cs="Arial"/>
        </w:rPr>
      </w:pPr>
      <w:r w:rsidRPr="00C3007F">
        <w:rPr>
          <w:rFonts w:ascii="Arial" w:hAnsi="Arial" w:cs="Arial"/>
        </w:rPr>
        <w:t>Scope or Mission;</w:t>
      </w:r>
    </w:p>
    <w:p w14:paraId="74331636" w14:textId="77777777" w:rsidR="00A852C1" w:rsidRPr="00C3007F" w:rsidRDefault="00CA2A7E" w:rsidP="00C3007F">
      <w:pPr>
        <w:numPr>
          <w:ilvl w:val="1"/>
          <w:numId w:val="14"/>
        </w:numPr>
        <w:spacing w:after="0" w:line="280" w:lineRule="exact"/>
        <w:ind w:left="720"/>
        <w:contextualSpacing/>
        <w:rPr>
          <w:rFonts w:ascii="Arial" w:hAnsi="Arial" w:cs="Arial"/>
        </w:rPr>
      </w:pPr>
      <w:r w:rsidRPr="00C3007F">
        <w:rPr>
          <w:rFonts w:ascii="Arial" w:hAnsi="Arial" w:cs="Arial"/>
        </w:rPr>
        <w:t>Period and place of performance;</w:t>
      </w:r>
    </w:p>
    <w:p w14:paraId="66E81BA9" w14:textId="77777777" w:rsidR="00A852C1" w:rsidRPr="00C3007F" w:rsidRDefault="00CA2A7E" w:rsidP="00C3007F">
      <w:pPr>
        <w:numPr>
          <w:ilvl w:val="1"/>
          <w:numId w:val="14"/>
        </w:numPr>
        <w:spacing w:after="0" w:line="280" w:lineRule="exact"/>
        <w:ind w:left="720"/>
        <w:contextualSpacing/>
        <w:rPr>
          <w:rFonts w:ascii="Arial" w:hAnsi="Arial" w:cs="Arial"/>
        </w:rPr>
      </w:pPr>
      <w:r w:rsidRPr="00C3007F">
        <w:rPr>
          <w:rFonts w:ascii="Arial" w:hAnsi="Arial" w:cs="Arial"/>
        </w:rPr>
        <w:t>Background;</w:t>
      </w:r>
    </w:p>
    <w:p w14:paraId="717A20F2" w14:textId="77777777" w:rsidR="00A852C1" w:rsidRPr="00C3007F" w:rsidRDefault="00CA2A7E" w:rsidP="00C3007F">
      <w:pPr>
        <w:numPr>
          <w:ilvl w:val="1"/>
          <w:numId w:val="14"/>
        </w:numPr>
        <w:spacing w:after="0" w:line="280" w:lineRule="exact"/>
        <w:ind w:left="720"/>
        <w:contextualSpacing/>
        <w:rPr>
          <w:rFonts w:ascii="Arial" w:hAnsi="Arial" w:cs="Arial"/>
        </w:rPr>
      </w:pPr>
      <w:r w:rsidRPr="00C3007F">
        <w:rPr>
          <w:rFonts w:ascii="Arial" w:hAnsi="Arial" w:cs="Arial"/>
        </w:rPr>
        <w:t>Performance objectives, goals and outcomes; and</w:t>
      </w:r>
    </w:p>
    <w:p w14:paraId="6D5E9268" w14:textId="0B73FE36" w:rsidR="00A852C1" w:rsidRPr="00C3007F" w:rsidRDefault="00CA2A7E" w:rsidP="00C3007F">
      <w:pPr>
        <w:numPr>
          <w:ilvl w:val="1"/>
          <w:numId w:val="14"/>
        </w:numPr>
        <w:spacing w:after="60" w:line="280" w:lineRule="exact"/>
        <w:ind w:left="720"/>
        <w:contextualSpacing/>
        <w:rPr>
          <w:rFonts w:ascii="Arial" w:hAnsi="Arial" w:cs="Arial"/>
        </w:rPr>
      </w:pPr>
      <w:r w:rsidRPr="00C3007F">
        <w:rPr>
          <w:rFonts w:ascii="Arial" w:hAnsi="Arial" w:cs="Arial"/>
        </w:rPr>
        <w:t>Any operating constraints.</w:t>
      </w:r>
    </w:p>
    <w:p w14:paraId="60238C33" w14:textId="77777777" w:rsidR="00A852C1" w:rsidRPr="00C3007F" w:rsidRDefault="00A852C1" w:rsidP="00C3007F">
      <w:pPr>
        <w:spacing w:after="60" w:line="280" w:lineRule="exact"/>
        <w:ind w:left="720"/>
        <w:contextualSpacing/>
        <w:rPr>
          <w:rFonts w:ascii="Arial" w:hAnsi="Arial" w:cs="Arial"/>
        </w:rPr>
      </w:pPr>
    </w:p>
    <w:p w14:paraId="4023EFE2" w14:textId="0B761F18" w:rsidR="00A852C1" w:rsidRPr="00C3007F" w:rsidRDefault="00CA2A7E" w:rsidP="00C3007F">
      <w:pPr>
        <w:spacing w:after="400" w:line="280" w:lineRule="exact"/>
        <w:rPr>
          <w:rFonts w:ascii="Arial" w:hAnsi="Arial" w:cs="Arial"/>
        </w:rPr>
      </w:pPr>
      <w:r w:rsidRPr="00C3007F">
        <w:rPr>
          <w:rFonts w:ascii="Arial" w:hAnsi="Arial" w:cs="Arial"/>
        </w:rPr>
        <w:t xml:space="preserve">A </w:t>
      </w:r>
      <w:hyperlink w:anchor="_Sample_Statement_of" w:history="1">
        <w:r w:rsidRPr="00C3007F">
          <w:rPr>
            <w:rFonts w:ascii="Arial" w:hAnsi="Arial" w:cs="Arial"/>
            <w:color w:val="0000FF" w:themeColor="hyperlink"/>
            <w:u w:val="single"/>
          </w:rPr>
          <w:t>SOO Sample Format</w:t>
        </w:r>
      </w:hyperlink>
      <w:r w:rsidRPr="00C3007F">
        <w:rPr>
          <w:rFonts w:ascii="Arial" w:hAnsi="Arial" w:cs="Arial"/>
        </w:rPr>
        <w:t xml:space="preserve"> is provided at ProTech </w:t>
      </w:r>
      <w:r w:rsidR="00C3007F">
        <w:rPr>
          <w:rFonts w:ascii="Arial" w:hAnsi="Arial" w:cs="Arial"/>
        </w:rPr>
        <w:t>w</w:t>
      </w:r>
      <w:r w:rsidRPr="00C3007F">
        <w:rPr>
          <w:rFonts w:ascii="Arial" w:hAnsi="Arial" w:cs="Arial"/>
        </w:rPr>
        <w:t xml:space="preserve">ebsite </w:t>
      </w:r>
      <w:hyperlink r:id="rId11" w:history="1">
        <w:r w:rsidR="004414B9" w:rsidRPr="004414B9">
          <w:rPr>
            <w:rStyle w:val="Hyperlink"/>
            <w:rFonts w:ascii="Arial" w:hAnsi="Arial" w:cs="Arial"/>
          </w:rPr>
          <w:t>SOO Template</w:t>
        </w:r>
      </w:hyperlink>
      <w:r w:rsidRPr="00C3007F">
        <w:rPr>
          <w:rFonts w:ascii="Arial" w:hAnsi="Arial" w:cs="Arial"/>
        </w:rPr>
        <w:t>.</w:t>
      </w:r>
    </w:p>
    <w:p w14:paraId="3DB68638" w14:textId="77777777" w:rsidR="00A852C1" w:rsidRDefault="00282B7E" w:rsidP="00C3007F">
      <w:pPr>
        <w:spacing w:after="0" w:line="280" w:lineRule="exact"/>
        <w:rPr>
          <w:rFonts w:ascii="Arial" w:hAnsi="Arial" w:cs="Arial"/>
          <w:b/>
          <w:bCs/>
          <w:sz w:val="24"/>
          <w:szCs w:val="24"/>
        </w:rPr>
      </w:pPr>
      <w:r w:rsidRPr="00282B7E">
        <w:rPr>
          <w:rFonts w:ascii="Arial" w:hAnsi="Arial" w:cs="Arial"/>
          <w:b/>
          <w:bCs/>
          <w:sz w:val="24"/>
          <w:szCs w:val="24"/>
        </w:rPr>
        <w:t>MOST RELEVANT REGULATIONS</w:t>
      </w:r>
    </w:p>
    <w:p w14:paraId="1E47F95F" w14:textId="77777777" w:rsidR="00A852C1" w:rsidRPr="00C3007F" w:rsidRDefault="00011165" w:rsidP="00C3007F">
      <w:pPr>
        <w:spacing w:after="240" w:line="280" w:lineRule="exact"/>
        <w:rPr>
          <w:rFonts w:ascii="Arial" w:eastAsia="Times New Roman" w:hAnsi="Arial" w:cs="Arial"/>
          <w:color w:val="000099"/>
        </w:rPr>
      </w:pPr>
      <w:hyperlink r:id="rId12" w:anchor="wp1074195" w:tgtFrame="_blank" w:history="1">
        <w:r w:rsidR="00CA2A7E" w:rsidRPr="00C3007F">
          <w:rPr>
            <w:rFonts w:ascii="Arial" w:eastAsia="Times New Roman" w:hAnsi="Arial" w:cs="Arial"/>
            <w:b/>
            <w:bCs/>
            <w:color w:val="0000FF" w:themeColor="hyperlink"/>
            <w:u w:val="single"/>
          </w:rPr>
          <w:t>FAR Subpart 37.6</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Performance-Based Acquisition</w:t>
      </w:r>
      <w:r w:rsidR="00CA2A7E" w:rsidRPr="00C3007F">
        <w:rPr>
          <w:rFonts w:ascii="Arial" w:eastAsia="Times New Roman" w:hAnsi="Arial" w:cs="Arial"/>
          <w:color w:val="000099"/>
        </w:rPr>
        <w:t xml:space="preserve"> </w:t>
      </w:r>
    </w:p>
    <w:p w14:paraId="4A3681FC" w14:textId="77777777" w:rsidR="00A852C1" w:rsidRPr="00C3007F" w:rsidRDefault="00011165" w:rsidP="00C3007F">
      <w:pPr>
        <w:spacing w:before="240" w:after="240" w:line="280" w:lineRule="exact"/>
        <w:rPr>
          <w:rFonts w:ascii="Arial" w:eastAsia="Times New Roman" w:hAnsi="Arial" w:cs="Arial"/>
          <w:color w:val="000099"/>
        </w:rPr>
      </w:pPr>
      <w:hyperlink r:id="rId13" w:anchor="wp223485" w:tgtFrame="_blank" w:history="1">
        <w:r w:rsidR="00CA2A7E" w:rsidRPr="00C3007F">
          <w:rPr>
            <w:rFonts w:ascii="Arial" w:eastAsia="Times New Roman" w:hAnsi="Arial" w:cs="Arial"/>
            <w:b/>
            <w:bCs/>
            <w:color w:val="0000FF" w:themeColor="hyperlink"/>
            <w:u w:val="single"/>
          </w:rPr>
          <w:t>FAR Part 37</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Service Contracting</w:t>
      </w:r>
      <w:r w:rsidR="00CA2A7E" w:rsidRPr="00C3007F">
        <w:rPr>
          <w:rFonts w:ascii="Arial" w:eastAsia="Times New Roman" w:hAnsi="Arial" w:cs="Arial"/>
          <w:color w:val="000099"/>
        </w:rPr>
        <w:t xml:space="preserve"> </w:t>
      </w:r>
    </w:p>
    <w:p w14:paraId="28257D89" w14:textId="77777777" w:rsidR="00A852C1" w:rsidRPr="00C3007F" w:rsidRDefault="00011165" w:rsidP="00C3007F">
      <w:pPr>
        <w:spacing w:before="240" w:after="240" w:line="280" w:lineRule="exact"/>
        <w:rPr>
          <w:rFonts w:ascii="Arial" w:eastAsia="Times New Roman" w:hAnsi="Arial" w:cs="Arial"/>
          <w:color w:val="000099"/>
        </w:rPr>
      </w:pPr>
      <w:hyperlink r:id="rId14" w:anchor="wp1130779" w:tgtFrame="_blank" w:history="1">
        <w:r w:rsidR="00CA2A7E" w:rsidRPr="00C3007F">
          <w:rPr>
            <w:rFonts w:ascii="Arial" w:eastAsia="Times New Roman" w:hAnsi="Arial" w:cs="Arial"/>
            <w:b/>
            <w:bCs/>
            <w:color w:val="0000FF" w:themeColor="hyperlink"/>
            <w:u w:val="single"/>
          </w:rPr>
          <w:t>FAR 1.102</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Statement of Guiding Principles for the Federal Acquisition System</w:t>
      </w:r>
    </w:p>
    <w:p w14:paraId="414DB435" w14:textId="77777777" w:rsidR="00A852C1" w:rsidRPr="00C3007F" w:rsidRDefault="00011165" w:rsidP="00C3007F">
      <w:pPr>
        <w:spacing w:before="240" w:after="240" w:line="280" w:lineRule="exact"/>
        <w:rPr>
          <w:rFonts w:ascii="Arial" w:eastAsia="Times New Roman" w:hAnsi="Arial" w:cs="Arial"/>
          <w:color w:val="000099"/>
        </w:rPr>
      </w:pPr>
      <w:hyperlink r:id="rId15" w:anchor="wp273907" w:tgtFrame="_blank" w:history="1">
        <w:r w:rsidR="00CA2A7E" w:rsidRPr="00C3007F">
          <w:rPr>
            <w:rFonts w:ascii="Arial" w:eastAsia="Times New Roman" w:hAnsi="Arial" w:cs="Arial"/>
            <w:b/>
            <w:bCs/>
            <w:color w:val="0000FF" w:themeColor="hyperlink"/>
            <w:u w:val="single"/>
          </w:rPr>
          <w:t>FAR Part 7</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Acquisition Planning</w:t>
      </w:r>
      <w:r w:rsidR="00CA2A7E" w:rsidRPr="00C3007F">
        <w:rPr>
          <w:rFonts w:ascii="Arial" w:eastAsia="Times New Roman" w:hAnsi="Arial" w:cs="Arial"/>
          <w:color w:val="000099"/>
        </w:rPr>
        <w:t xml:space="preserve"> </w:t>
      </w:r>
      <w:r w:rsidR="00CA2A7E" w:rsidRPr="00C3007F">
        <w:rPr>
          <w:rFonts w:ascii="Arial" w:eastAsia="Times New Roman" w:hAnsi="Arial" w:cs="Arial"/>
          <w:color w:val="000099"/>
        </w:rPr>
        <w:br/>
        <w:t xml:space="preserve">(notably Subpart </w:t>
      </w:r>
      <w:hyperlink r:id="rId16" w:anchor="wp1078196" w:tgtFrame="_blank" w:history="1">
        <w:r w:rsidR="00CA2A7E" w:rsidRPr="00C3007F">
          <w:rPr>
            <w:rFonts w:ascii="Arial" w:eastAsia="Times New Roman" w:hAnsi="Arial" w:cs="Arial"/>
            <w:color w:val="0000FF" w:themeColor="hyperlink"/>
            <w:u w:val="single"/>
          </w:rPr>
          <w:t>7.5</w:t>
        </w:r>
      </w:hyperlink>
      <w:r w:rsidR="00CA2A7E" w:rsidRPr="00C3007F">
        <w:rPr>
          <w:rFonts w:ascii="Arial" w:eastAsia="Times New Roman" w:hAnsi="Arial" w:cs="Arial"/>
          <w:color w:val="000099"/>
        </w:rPr>
        <w:t xml:space="preserve"> and provisions at </w:t>
      </w:r>
      <w:hyperlink r:id="rId17" w:anchor="wp1098095" w:tgtFrame="_blank" w:history="1">
        <w:r w:rsidR="00CA2A7E" w:rsidRPr="00C3007F">
          <w:rPr>
            <w:rFonts w:ascii="Arial" w:eastAsia="Times New Roman" w:hAnsi="Arial" w:cs="Arial"/>
            <w:color w:val="0000FF" w:themeColor="hyperlink"/>
            <w:u w:val="single"/>
          </w:rPr>
          <w:t xml:space="preserve">7.105 </w:t>
        </w:r>
      </w:hyperlink>
      <w:r w:rsidR="00CA2A7E" w:rsidRPr="00C3007F">
        <w:rPr>
          <w:rFonts w:ascii="Arial" w:eastAsia="Times New Roman" w:hAnsi="Arial" w:cs="Arial"/>
          <w:color w:val="000099"/>
        </w:rPr>
        <w:t xml:space="preserve">) </w:t>
      </w:r>
    </w:p>
    <w:p w14:paraId="5D071B03" w14:textId="77777777" w:rsidR="00A852C1" w:rsidRPr="00C3007F" w:rsidRDefault="00011165" w:rsidP="00C3007F">
      <w:pPr>
        <w:spacing w:before="240" w:after="240" w:line="280" w:lineRule="exact"/>
        <w:rPr>
          <w:rFonts w:ascii="Arial" w:eastAsia="Times New Roman" w:hAnsi="Arial" w:cs="Arial"/>
          <w:color w:val="000099"/>
        </w:rPr>
      </w:pPr>
      <w:hyperlink r:id="rId18" w:anchor="wp266706" w:tgtFrame="_blank" w:history="1">
        <w:r w:rsidR="00CA2A7E" w:rsidRPr="00C3007F">
          <w:rPr>
            <w:rFonts w:ascii="Arial" w:eastAsia="Times New Roman" w:hAnsi="Arial" w:cs="Arial"/>
            <w:b/>
            <w:bCs/>
            <w:color w:val="0000FF" w:themeColor="hyperlink"/>
            <w:u w:val="single"/>
          </w:rPr>
          <w:t>FAR Part 10</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Market Research</w:t>
      </w:r>
    </w:p>
    <w:p w14:paraId="74A4200C" w14:textId="77777777" w:rsidR="00A852C1" w:rsidRPr="00C3007F" w:rsidRDefault="00011165" w:rsidP="00C3007F">
      <w:pPr>
        <w:spacing w:before="240" w:after="240" w:line="280" w:lineRule="exact"/>
        <w:rPr>
          <w:rFonts w:ascii="Arial" w:eastAsia="Times New Roman" w:hAnsi="Arial" w:cs="Arial"/>
          <w:color w:val="000099"/>
        </w:rPr>
      </w:pPr>
      <w:hyperlink r:id="rId19" w:anchor="wp226850" w:tgtFrame="_blank" w:history="1">
        <w:r w:rsidR="00CA2A7E" w:rsidRPr="00C3007F">
          <w:rPr>
            <w:rFonts w:ascii="Arial" w:eastAsia="Times New Roman" w:hAnsi="Arial" w:cs="Arial"/>
            <w:b/>
            <w:bCs/>
            <w:color w:val="0000FF" w:themeColor="hyperlink"/>
            <w:u w:val="single"/>
          </w:rPr>
          <w:t>FAR Part 11</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Describing Agency Needs</w:t>
      </w:r>
      <w:r w:rsidR="00CA2A7E" w:rsidRPr="00C3007F">
        <w:rPr>
          <w:rFonts w:ascii="Arial" w:eastAsia="Times New Roman" w:hAnsi="Arial" w:cs="Arial"/>
          <w:color w:val="000099"/>
        </w:rPr>
        <w:t xml:space="preserve"> </w:t>
      </w:r>
      <w:r w:rsidR="00CA2A7E" w:rsidRPr="00C3007F">
        <w:rPr>
          <w:rFonts w:ascii="Arial" w:eastAsia="Times New Roman" w:hAnsi="Arial" w:cs="Arial"/>
          <w:color w:val="000099"/>
        </w:rPr>
        <w:br/>
        <w:t xml:space="preserve">(notably provisions at </w:t>
      </w:r>
      <w:hyperlink r:id="rId20" w:anchor="wp1086822" w:tgtFrame="_blank" w:history="1">
        <w:r w:rsidR="00CA2A7E" w:rsidRPr="00C3007F">
          <w:rPr>
            <w:rFonts w:ascii="Arial" w:eastAsia="Times New Roman" w:hAnsi="Arial" w:cs="Arial"/>
            <w:color w:val="0000FF" w:themeColor="hyperlink"/>
            <w:u w:val="single"/>
          </w:rPr>
          <w:t>11.101</w:t>
        </w:r>
      </w:hyperlink>
      <w:r w:rsidR="00CA2A7E" w:rsidRPr="00C3007F">
        <w:rPr>
          <w:rFonts w:ascii="Arial" w:eastAsia="Times New Roman" w:hAnsi="Arial" w:cs="Arial"/>
          <w:color w:val="000099"/>
        </w:rPr>
        <w:t xml:space="preserve"> and </w:t>
      </w:r>
      <w:hyperlink r:id="rId21" w:anchor="wp1086859" w:tgtFrame="_blank" w:history="1">
        <w:r w:rsidR="00CA2A7E" w:rsidRPr="00C3007F">
          <w:rPr>
            <w:rFonts w:ascii="Arial" w:eastAsia="Times New Roman" w:hAnsi="Arial" w:cs="Arial"/>
            <w:color w:val="0000FF" w:themeColor="hyperlink"/>
            <w:u w:val="single"/>
          </w:rPr>
          <w:t>11.106</w:t>
        </w:r>
      </w:hyperlink>
      <w:r w:rsidR="00CA2A7E" w:rsidRPr="00C3007F">
        <w:rPr>
          <w:rFonts w:ascii="Arial" w:eastAsia="Times New Roman" w:hAnsi="Arial" w:cs="Arial"/>
          <w:color w:val="000099"/>
        </w:rPr>
        <w:t xml:space="preserve">) </w:t>
      </w:r>
    </w:p>
    <w:p w14:paraId="576E6405" w14:textId="693BE263" w:rsidR="00A852C1" w:rsidRPr="00C3007F" w:rsidRDefault="00011165" w:rsidP="00C3007F">
      <w:pPr>
        <w:spacing w:before="240" w:after="240" w:line="280" w:lineRule="exact"/>
        <w:rPr>
          <w:rFonts w:ascii="Arial" w:eastAsia="Times New Roman" w:hAnsi="Arial" w:cs="Arial"/>
          <w:color w:val="000099"/>
        </w:rPr>
      </w:pPr>
      <w:hyperlink r:id="rId22" w:anchor="wp226846" w:tgtFrame="_blank" w:history="1">
        <w:r w:rsidR="00CA2A7E" w:rsidRPr="00C3007F">
          <w:rPr>
            <w:rFonts w:ascii="Arial" w:eastAsia="Times New Roman" w:hAnsi="Arial" w:cs="Arial"/>
            <w:b/>
            <w:bCs/>
            <w:color w:val="0000FF" w:themeColor="hyperlink"/>
            <w:u w:val="single"/>
          </w:rPr>
          <w:t>FAR Part 46</w:t>
        </w:r>
      </w:hyperlink>
      <w:r w:rsidR="00CA2A7E" w:rsidRPr="00C3007F">
        <w:rPr>
          <w:rFonts w:ascii="Arial" w:eastAsia="Times New Roman" w:hAnsi="Arial" w:cs="Arial"/>
          <w:color w:val="000099"/>
        </w:rPr>
        <w:t xml:space="preserve">, </w:t>
      </w:r>
      <w:r w:rsidR="00CA2A7E" w:rsidRPr="00C3007F">
        <w:rPr>
          <w:rFonts w:ascii="Arial" w:eastAsia="Times New Roman" w:hAnsi="Arial" w:cs="Arial"/>
          <w:b/>
          <w:bCs/>
          <w:color w:val="000099"/>
        </w:rPr>
        <w:t xml:space="preserve">Quality Assurance </w:t>
      </w:r>
      <w:r w:rsidR="00CA2A7E" w:rsidRPr="00C3007F">
        <w:rPr>
          <w:rFonts w:ascii="Arial" w:eastAsia="Times New Roman" w:hAnsi="Arial" w:cs="Arial"/>
          <w:color w:val="000099"/>
        </w:rPr>
        <w:br/>
        <w:t xml:space="preserve">(notably provisions at </w:t>
      </w:r>
      <w:hyperlink r:id="rId23" w:anchor="wp1069917" w:tgtFrame="_blank" w:history="1">
        <w:r w:rsidR="00CA2A7E" w:rsidRPr="00C3007F">
          <w:rPr>
            <w:rFonts w:ascii="Arial" w:eastAsia="Times New Roman" w:hAnsi="Arial" w:cs="Arial"/>
            <w:color w:val="0000FF" w:themeColor="hyperlink"/>
            <w:u w:val="single"/>
          </w:rPr>
          <w:t>46.103</w:t>
        </w:r>
      </w:hyperlink>
      <w:r w:rsidR="00CA2A7E" w:rsidRPr="00C3007F">
        <w:rPr>
          <w:rFonts w:ascii="Arial" w:eastAsia="Times New Roman" w:hAnsi="Arial" w:cs="Arial"/>
          <w:color w:val="000099"/>
        </w:rPr>
        <w:t xml:space="preserve"> and </w:t>
      </w:r>
      <w:hyperlink r:id="rId24" w:anchor="wp1070242" w:tgtFrame="_blank" w:history="1">
        <w:r w:rsidR="00CA2A7E" w:rsidRPr="00C3007F">
          <w:rPr>
            <w:rFonts w:ascii="Arial" w:eastAsia="Times New Roman" w:hAnsi="Arial" w:cs="Arial"/>
            <w:color w:val="0000FF" w:themeColor="hyperlink"/>
            <w:u w:val="single"/>
          </w:rPr>
          <w:t>46.401</w:t>
        </w:r>
      </w:hyperlink>
      <w:r w:rsidR="00CA2A7E" w:rsidRPr="00C3007F">
        <w:rPr>
          <w:rFonts w:ascii="Arial" w:eastAsia="Times New Roman" w:hAnsi="Arial" w:cs="Arial"/>
          <w:color w:val="000099"/>
        </w:rPr>
        <w:t xml:space="preserve">) </w:t>
      </w:r>
      <w:r w:rsidR="00CA2A7E" w:rsidRPr="00C3007F">
        <w:rPr>
          <w:rFonts w:ascii="Arial" w:eastAsia="Times New Roman" w:hAnsi="Arial" w:cs="Arial"/>
          <w:color w:val="000099"/>
        </w:rPr>
        <w:br/>
        <w:t xml:space="preserve">[Note: In 1999, FAC 97-10 amended the FAR to reflect a preference for commercial contract quality requirements, rather than Federal or military specifications, and to permit greater flexibility in specifying higher-level contract quality requirements, such as ISO 9000 (see, for example, </w:t>
      </w:r>
      <w:hyperlink r:id="rId25" w:anchor="wp1069915" w:tgtFrame="_blank" w:history="1">
        <w:r w:rsidR="00CA2A7E" w:rsidRPr="00C3007F">
          <w:rPr>
            <w:rFonts w:ascii="Arial" w:eastAsia="Times New Roman" w:hAnsi="Arial" w:cs="Arial"/>
            <w:color w:val="0000FF" w:themeColor="hyperlink"/>
            <w:u w:val="single"/>
          </w:rPr>
          <w:t>FAR 46.102(f)</w:t>
        </w:r>
      </w:hyperlink>
      <w:r w:rsidR="00CA2A7E" w:rsidRPr="00C3007F">
        <w:rPr>
          <w:rFonts w:ascii="Arial" w:eastAsia="Times New Roman" w:hAnsi="Arial" w:cs="Arial"/>
          <w:color w:val="000099"/>
        </w:rPr>
        <w:t xml:space="preserve">, </w:t>
      </w:r>
      <w:hyperlink r:id="rId26" w:anchor="wp1069872" w:tgtFrame="_blank" w:history="1">
        <w:r w:rsidR="00CA2A7E" w:rsidRPr="00C3007F">
          <w:rPr>
            <w:rFonts w:ascii="Arial" w:eastAsia="Times New Roman" w:hAnsi="Arial" w:cs="Arial"/>
            <w:color w:val="0000FF" w:themeColor="hyperlink"/>
            <w:u w:val="single"/>
          </w:rPr>
          <w:t>46.202-4</w:t>
        </w:r>
      </w:hyperlink>
      <w:r w:rsidR="00CA2A7E" w:rsidRPr="00C3007F">
        <w:rPr>
          <w:rFonts w:ascii="Arial" w:eastAsia="Times New Roman" w:hAnsi="Arial" w:cs="Arial"/>
          <w:color w:val="000099"/>
        </w:rPr>
        <w:t xml:space="preserve">, and </w:t>
      </w:r>
      <w:hyperlink r:id="rId27" w:anchor="wp1069871" w:tgtFrame="_blank" w:history="1">
        <w:r w:rsidR="00CA2A7E" w:rsidRPr="00C3007F">
          <w:rPr>
            <w:rFonts w:ascii="Arial" w:eastAsia="Times New Roman" w:hAnsi="Arial" w:cs="Arial"/>
            <w:color w:val="0000FF" w:themeColor="hyperlink"/>
            <w:u w:val="single"/>
          </w:rPr>
          <w:t>46.311</w:t>
        </w:r>
      </w:hyperlink>
      <w:r w:rsidR="00CA2A7E" w:rsidRPr="00C3007F">
        <w:rPr>
          <w:rFonts w:ascii="Arial" w:eastAsia="Times New Roman" w:hAnsi="Arial" w:cs="Arial"/>
          <w:color w:val="000099"/>
        </w:rPr>
        <w:t>.</w:t>
      </w:r>
      <w:r w:rsidR="00BE3396">
        <w:rPr>
          <w:rFonts w:ascii="Arial" w:eastAsia="Times New Roman" w:hAnsi="Arial" w:cs="Arial"/>
          <w:color w:val="000099"/>
        </w:rPr>
        <w:t>)</w:t>
      </w:r>
      <w:r w:rsidR="00CA2A7E" w:rsidRPr="00C3007F">
        <w:rPr>
          <w:rFonts w:ascii="Arial" w:eastAsia="Times New Roman" w:hAnsi="Arial" w:cs="Arial"/>
          <w:color w:val="000099"/>
        </w:rPr>
        <w:t xml:space="preserve">] </w:t>
      </w:r>
    </w:p>
    <w:p w14:paraId="35C5D246" w14:textId="6BB2E91A" w:rsidR="00A852C1" w:rsidRPr="00C3007F" w:rsidRDefault="00011165" w:rsidP="00C3007F">
      <w:pPr>
        <w:spacing w:before="240" w:after="400" w:line="280" w:lineRule="exact"/>
        <w:rPr>
          <w:rFonts w:ascii="Arial" w:hAnsi="Arial" w:cs="Arial"/>
          <w:b/>
        </w:rPr>
      </w:pPr>
      <w:hyperlink r:id="rId28" w:tgtFrame="_blank" w:history="1">
        <w:r w:rsidR="00CA2A7E" w:rsidRPr="00C3007F">
          <w:rPr>
            <w:rFonts w:ascii="Arial" w:eastAsia="Times New Roman" w:hAnsi="Arial" w:cs="Arial"/>
            <w:b/>
            <w:bCs/>
            <w:color w:val="0000FF" w:themeColor="hyperlink"/>
            <w:u w:val="single"/>
          </w:rPr>
          <w:t>Federal Acquisition Streamlining Act of 1994</w:t>
        </w:r>
        <w:r w:rsidR="00CA2A7E" w:rsidRPr="00C3007F">
          <w:rPr>
            <w:rFonts w:ascii="Arial" w:eastAsia="Times New Roman" w:hAnsi="Arial" w:cs="Arial"/>
            <w:color w:val="0000FF" w:themeColor="hyperlink"/>
            <w:u w:val="single"/>
          </w:rPr>
          <w:t xml:space="preserve"> </w:t>
        </w:r>
      </w:hyperlink>
    </w:p>
    <w:p w14:paraId="01208D31" w14:textId="50E2AFA5" w:rsidR="00A852C1" w:rsidRDefault="00282B7E" w:rsidP="00C3007F">
      <w:pPr>
        <w:spacing w:after="0" w:line="280" w:lineRule="exact"/>
        <w:rPr>
          <w:rFonts w:ascii="Arial" w:hAnsi="Arial" w:cs="Arial"/>
          <w:b/>
          <w:sz w:val="24"/>
          <w:szCs w:val="24"/>
        </w:rPr>
      </w:pPr>
      <w:r w:rsidRPr="00282B7E">
        <w:rPr>
          <w:rFonts w:ascii="Arial" w:hAnsi="Arial" w:cs="Arial"/>
          <w:b/>
          <w:sz w:val="24"/>
          <w:szCs w:val="24"/>
        </w:rPr>
        <w:t>ADDITIONAL</w:t>
      </w:r>
      <w:r w:rsidR="005A55CD">
        <w:rPr>
          <w:rFonts w:ascii="Arial" w:hAnsi="Arial" w:cs="Arial"/>
          <w:b/>
          <w:sz w:val="24"/>
          <w:szCs w:val="24"/>
        </w:rPr>
        <w:t xml:space="preserve"> </w:t>
      </w:r>
      <w:r w:rsidRPr="00282B7E">
        <w:rPr>
          <w:rFonts w:ascii="Arial" w:hAnsi="Arial" w:cs="Arial"/>
          <w:b/>
          <w:sz w:val="24"/>
          <w:szCs w:val="24"/>
        </w:rPr>
        <w:t>RESOURCES</w:t>
      </w:r>
    </w:p>
    <w:p w14:paraId="0947425B" w14:textId="03FE41AB" w:rsidR="00A852C1" w:rsidRPr="00C3007F" w:rsidRDefault="00CA2A7E" w:rsidP="00C3007F">
      <w:pPr>
        <w:spacing w:after="160" w:line="280" w:lineRule="exact"/>
        <w:rPr>
          <w:rFonts w:ascii="Arial" w:hAnsi="Arial" w:cs="Arial"/>
        </w:rPr>
      </w:pPr>
      <w:r w:rsidRPr="00C3007F">
        <w:rPr>
          <w:rFonts w:ascii="Arial" w:hAnsi="Arial" w:cs="Arial"/>
        </w:rPr>
        <w:t>Refer to the following links to learn more about PBSA:</w:t>
      </w:r>
    </w:p>
    <w:p w14:paraId="0DC95F13" w14:textId="77777777" w:rsidR="00A852C1" w:rsidRPr="00C3007F" w:rsidRDefault="00CA2A7E" w:rsidP="00C3007F">
      <w:pPr>
        <w:spacing w:after="160" w:line="280" w:lineRule="exact"/>
        <w:rPr>
          <w:rFonts w:ascii="Arial" w:hAnsi="Arial" w:cs="Arial"/>
        </w:rPr>
      </w:pPr>
      <w:r w:rsidRPr="00C3007F">
        <w:rPr>
          <w:rFonts w:ascii="Arial" w:hAnsi="Arial" w:cs="Arial"/>
        </w:rPr>
        <w:lastRenderedPageBreak/>
        <w:t xml:space="preserve">Seven Steps to Performance-Based Acquisition </w:t>
      </w:r>
      <w:hyperlink r:id="rId29" w:history="1">
        <w:r w:rsidRPr="00C3007F">
          <w:rPr>
            <w:rFonts w:ascii="Arial" w:hAnsi="Arial" w:cs="Arial"/>
            <w:color w:val="0000FF" w:themeColor="hyperlink"/>
            <w:u w:val="single"/>
          </w:rPr>
          <w:t>https://www.acquisition.gov/seven_steps/home.html</w:t>
        </w:r>
      </w:hyperlink>
      <w:r w:rsidRPr="00C3007F">
        <w:rPr>
          <w:rFonts w:ascii="Arial" w:hAnsi="Arial" w:cs="Arial"/>
        </w:rPr>
        <w:t xml:space="preserve"> </w:t>
      </w:r>
    </w:p>
    <w:p w14:paraId="1DED2C3B" w14:textId="237938D7" w:rsidR="00D13258" w:rsidRDefault="00CA2A7E" w:rsidP="00C3007F">
      <w:pPr>
        <w:spacing w:after="0" w:line="280" w:lineRule="exact"/>
        <w:rPr>
          <w:rFonts w:ascii="Arial" w:eastAsiaTheme="majorEastAsia" w:hAnsi="Arial" w:cstheme="majorBidi"/>
          <w:b/>
          <w:bCs/>
          <w:color w:val="000080"/>
          <w:sz w:val="36"/>
          <w:szCs w:val="28"/>
        </w:rPr>
      </w:pPr>
      <w:r w:rsidRPr="00C3007F">
        <w:rPr>
          <w:rFonts w:ascii="Arial" w:hAnsi="Arial" w:cs="Arial"/>
        </w:rPr>
        <w:t xml:space="preserve">Department of Defense Guidebook for the Acquisition of Services </w:t>
      </w:r>
      <w:hyperlink r:id="rId30" w:history="1">
        <w:r w:rsidRPr="00C3007F">
          <w:rPr>
            <w:rFonts w:ascii="Arial" w:hAnsi="Arial" w:cs="Arial"/>
            <w:color w:val="0000FF" w:themeColor="hyperlink"/>
            <w:u w:val="single"/>
          </w:rPr>
          <w:t>http://www.dau.mil/publications/publicationsDocs/Acquisition_of_Services_v5_%207_20_2011.pdf</w:t>
        </w:r>
      </w:hyperlink>
      <w:r w:rsidRPr="00C3007F">
        <w:rPr>
          <w:rFonts w:ascii="Arial" w:hAnsi="Arial" w:cs="Arial"/>
        </w:rPr>
        <w:t xml:space="preserve"> </w:t>
      </w:r>
    </w:p>
    <w:sectPr w:rsidR="00D13258" w:rsidSect="00F37DDF">
      <w:footerReference w:type="default" r:id="rId3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D4D1" w14:textId="77777777" w:rsidR="00011165" w:rsidRDefault="00011165" w:rsidP="00E436D9">
      <w:pPr>
        <w:spacing w:after="0" w:line="240" w:lineRule="auto"/>
      </w:pPr>
      <w:r>
        <w:separator/>
      </w:r>
    </w:p>
  </w:endnote>
  <w:endnote w:type="continuationSeparator" w:id="0">
    <w:p w14:paraId="071D61D3" w14:textId="77777777" w:rsidR="00011165" w:rsidRDefault="00011165" w:rsidP="00E4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1278"/>
      <w:gridCol w:w="6660"/>
      <w:gridCol w:w="1638"/>
    </w:tblGrid>
    <w:tr w:rsidR="00F37DDF" w:rsidRPr="0057795C" w14:paraId="4EE091C6" w14:textId="77777777" w:rsidTr="004911FA">
      <w:tc>
        <w:tcPr>
          <w:tcW w:w="1278" w:type="dxa"/>
          <w:tcBorders>
            <w:top w:val="single" w:sz="4" w:space="0" w:color="auto"/>
            <w:left w:val="nil"/>
            <w:bottom w:val="nil"/>
            <w:right w:val="nil"/>
          </w:tcBorders>
          <w:hideMark/>
        </w:tcPr>
        <w:p w14:paraId="7FFFC279" w14:textId="15968BA0" w:rsidR="00F37DDF" w:rsidRPr="0057795C" w:rsidRDefault="00F37DDF" w:rsidP="00F37DDF">
          <w:pPr>
            <w:pStyle w:val="Footer"/>
            <w:rPr>
              <w:rStyle w:val="PageNumber"/>
              <w:rFonts w:ascii="Arial" w:hAnsi="Arial" w:cs="Arial"/>
              <w:sz w:val="20"/>
            </w:rPr>
          </w:pPr>
          <w:r w:rsidRPr="0057795C">
            <w:rPr>
              <w:rFonts w:ascii="Arial" w:hAnsi="Arial" w:cs="Arial"/>
              <w:noProof/>
              <w:sz w:val="20"/>
            </w:rPr>
            <w:drawing>
              <wp:inline distT="0" distB="0" distL="0" distR="0" wp14:anchorId="538A698A" wp14:editId="3C940527">
                <wp:extent cx="666750" cy="676275"/>
                <wp:effectExtent l="0" t="0" r="0" b="9525"/>
                <wp:docPr id="1" name="Picture 1" descr="N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tc>
      <w:tc>
        <w:tcPr>
          <w:tcW w:w="6660" w:type="dxa"/>
          <w:tcBorders>
            <w:top w:val="single" w:sz="4" w:space="0" w:color="auto"/>
            <w:left w:val="nil"/>
            <w:bottom w:val="nil"/>
            <w:right w:val="nil"/>
          </w:tcBorders>
          <w:vAlign w:val="center"/>
          <w:hideMark/>
        </w:tcPr>
        <w:p w14:paraId="11D49904" w14:textId="77777777" w:rsidR="00F37DDF" w:rsidRPr="0057795C" w:rsidRDefault="00F37DDF" w:rsidP="00F37DDF">
          <w:pPr>
            <w:pStyle w:val="Footer"/>
            <w:rPr>
              <w:rStyle w:val="PageNumber"/>
              <w:rFonts w:ascii="Arial" w:hAnsi="Arial" w:cs="Arial"/>
              <w:sz w:val="20"/>
            </w:rPr>
          </w:pPr>
          <w:r w:rsidRPr="0057795C">
            <w:rPr>
              <w:rStyle w:val="PageNumber"/>
              <w:rFonts w:ascii="Arial" w:hAnsi="Arial" w:cs="Arial"/>
              <w:sz w:val="20"/>
            </w:rPr>
            <w:t>Professional and Technical Services (ProTech)</w:t>
          </w:r>
        </w:p>
        <w:p w14:paraId="23FEE813" w14:textId="1FBE3DD6" w:rsidR="00F37DDF" w:rsidRPr="0057795C" w:rsidRDefault="00F37DDF" w:rsidP="00F37DDF">
          <w:pPr>
            <w:pStyle w:val="Footer"/>
            <w:rPr>
              <w:rStyle w:val="PageNumber"/>
              <w:rFonts w:ascii="Arial" w:hAnsi="Arial" w:cs="Arial"/>
              <w:sz w:val="20"/>
            </w:rPr>
          </w:pPr>
          <w:r w:rsidRPr="0057795C">
            <w:rPr>
              <w:rStyle w:val="PageNumber"/>
              <w:rFonts w:ascii="Arial" w:hAnsi="Arial" w:cs="Arial"/>
              <w:sz w:val="20"/>
            </w:rPr>
            <w:t xml:space="preserve">May 2017 </w:t>
          </w:r>
          <w:r>
            <w:rPr>
              <w:rStyle w:val="PageNumber"/>
              <w:rFonts w:ascii="Arial" w:hAnsi="Arial" w:cs="Arial"/>
              <w:sz w:val="20"/>
            </w:rPr>
            <w:t>Additional Guidance on PBSA</w:t>
          </w:r>
        </w:p>
      </w:tc>
      <w:tc>
        <w:tcPr>
          <w:tcW w:w="1638" w:type="dxa"/>
          <w:tcBorders>
            <w:top w:val="single" w:sz="4" w:space="0" w:color="auto"/>
            <w:left w:val="nil"/>
            <w:bottom w:val="nil"/>
            <w:right w:val="nil"/>
          </w:tcBorders>
          <w:vAlign w:val="center"/>
          <w:hideMark/>
        </w:tcPr>
        <w:p w14:paraId="0519EE88" w14:textId="77777777" w:rsidR="00F37DDF" w:rsidRPr="0057795C" w:rsidRDefault="00F37DDF" w:rsidP="00F37DDF">
          <w:pPr>
            <w:pStyle w:val="Footer"/>
            <w:jc w:val="right"/>
            <w:rPr>
              <w:rStyle w:val="PageNumber"/>
              <w:rFonts w:ascii="Arial" w:hAnsi="Arial" w:cs="Arial"/>
              <w:sz w:val="20"/>
            </w:rPr>
          </w:pPr>
          <w:r w:rsidRPr="0057795C">
            <w:rPr>
              <w:rStyle w:val="PageNumber"/>
              <w:rFonts w:ascii="Arial" w:hAnsi="Arial" w:cs="Arial"/>
              <w:sz w:val="20"/>
            </w:rPr>
            <w:t xml:space="preserve">Page </w:t>
          </w:r>
          <w:r w:rsidRPr="0057795C">
            <w:rPr>
              <w:rStyle w:val="PageNumber"/>
              <w:rFonts w:ascii="Arial" w:hAnsi="Arial" w:cs="Arial"/>
              <w:sz w:val="20"/>
            </w:rPr>
            <w:fldChar w:fldCharType="begin"/>
          </w:r>
          <w:r w:rsidRPr="0057795C">
            <w:rPr>
              <w:rStyle w:val="PageNumber"/>
              <w:rFonts w:ascii="Arial" w:hAnsi="Arial" w:cs="Arial"/>
              <w:sz w:val="20"/>
            </w:rPr>
            <w:instrText xml:space="preserve"> PAGE   \* MERGEFORMAT </w:instrText>
          </w:r>
          <w:r w:rsidRPr="0057795C">
            <w:rPr>
              <w:rStyle w:val="PageNumber"/>
              <w:rFonts w:ascii="Arial" w:hAnsi="Arial" w:cs="Arial"/>
              <w:sz w:val="20"/>
            </w:rPr>
            <w:fldChar w:fldCharType="separate"/>
          </w:r>
          <w:r w:rsidR="004414B9">
            <w:rPr>
              <w:rStyle w:val="PageNumber"/>
              <w:rFonts w:ascii="Arial" w:hAnsi="Arial" w:cs="Arial"/>
              <w:noProof/>
              <w:sz w:val="20"/>
            </w:rPr>
            <w:t>3</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of </w:t>
          </w:r>
          <w:r w:rsidRPr="0057795C">
            <w:rPr>
              <w:rStyle w:val="PageNumber"/>
              <w:rFonts w:ascii="Arial" w:hAnsi="Arial" w:cs="Arial"/>
              <w:noProof/>
              <w:sz w:val="20"/>
            </w:rPr>
            <w:fldChar w:fldCharType="begin"/>
          </w:r>
          <w:r w:rsidRPr="0057795C">
            <w:rPr>
              <w:rStyle w:val="PageNumber"/>
              <w:rFonts w:ascii="Arial" w:hAnsi="Arial" w:cs="Arial"/>
              <w:noProof/>
              <w:sz w:val="20"/>
            </w:rPr>
            <w:instrText xml:space="preserve"> NUMPAGES  \* Arabic  \* MERGEFORMAT </w:instrText>
          </w:r>
          <w:r w:rsidRPr="0057795C">
            <w:rPr>
              <w:rStyle w:val="PageNumber"/>
              <w:rFonts w:ascii="Arial" w:hAnsi="Arial" w:cs="Arial"/>
              <w:noProof/>
              <w:sz w:val="20"/>
            </w:rPr>
            <w:fldChar w:fldCharType="separate"/>
          </w:r>
          <w:r w:rsidR="004414B9">
            <w:rPr>
              <w:rStyle w:val="PageNumber"/>
              <w:rFonts w:ascii="Arial" w:hAnsi="Arial" w:cs="Arial"/>
              <w:noProof/>
              <w:sz w:val="20"/>
            </w:rPr>
            <w:t>4</w:t>
          </w:r>
          <w:r w:rsidRPr="0057795C">
            <w:rPr>
              <w:rStyle w:val="PageNumber"/>
              <w:rFonts w:ascii="Arial" w:hAnsi="Arial" w:cs="Arial"/>
              <w:noProof/>
              <w:sz w:val="20"/>
            </w:rPr>
            <w:fldChar w:fldCharType="end"/>
          </w:r>
          <w:r w:rsidRPr="0057795C">
            <w:rPr>
              <w:rStyle w:val="PageNumber"/>
              <w:rFonts w:ascii="Arial" w:hAnsi="Arial" w:cs="Arial"/>
              <w:noProof/>
              <w:sz w:val="20"/>
            </w:rPr>
            <w:t xml:space="preserve"> </w:t>
          </w:r>
        </w:p>
      </w:tc>
    </w:tr>
  </w:tbl>
  <w:p w14:paraId="2AB6C0B0" w14:textId="2F6BBEFB" w:rsidR="00E436D9" w:rsidRDefault="00E436D9" w:rsidP="00F37DDF">
    <w:pPr>
      <w:pStyle w:val="Footer"/>
    </w:pPr>
  </w:p>
  <w:p w14:paraId="400AE1A6" w14:textId="77777777" w:rsidR="00E436D9" w:rsidRDefault="00E43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C4F1" w14:textId="77777777" w:rsidR="00011165" w:rsidRDefault="00011165" w:rsidP="00E436D9">
      <w:pPr>
        <w:spacing w:after="0" w:line="240" w:lineRule="auto"/>
      </w:pPr>
      <w:r>
        <w:separator/>
      </w:r>
    </w:p>
  </w:footnote>
  <w:footnote w:type="continuationSeparator" w:id="0">
    <w:p w14:paraId="03547E7B" w14:textId="77777777" w:rsidR="00011165" w:rsidRDefault="00011165" w:rsidP="00E43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13D"/>
    <w:multiLevelType w:val="hybridMultilevel"/>
    <w:tmpl w:val="12024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B4F98"/>
    <w:multiLevelType w:val="multilevel"/>
    <w:tmpl w:val="E93ADC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F53230A"/>
    <w:multiLevelType w:val="hybridMultilevel"/>
    <w:tmpl w:val="C518D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C22A95"/>
    <w:multiLevelType w:val="hybridMultilevel"/>
    <w:tmpl w:val="A2F2C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B92B7E"/>
    <w:multiLevelType w:val="hybridMultilevel"/>
    <w:tmpl w:val="388EE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44E020E">
      <w:start w:val="3"/>
      <w:numFmt w:val="bullet"/>
      <w:lvlText w:val="–"/>
      <w:lvlJc w:val="left"/>
      <w:pPr>
        <w:ind w:left="2160" w:hanging="360"/>
      </w:pPr>
      <w:rPr>
        <w:rFonts w:ascii="Arial" w:eastAsiaTheme="maj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71"/>
    <w:rsid w:val="00011165"/>
    <w:rsid w:val="000554B4"/>
    <w:rsid w:val="00147428"/>
    <w:rsid w:val="0019313F"/>
    <w:rsid w:val="001E2E46"/>
    <w:rsid w:val="001F3CA5"/>
    <w:rsid w:val="00236271"/>
    <w:rsid w:val="00282B7E"/>
    <w:rsid w:val="003E0193"/>
    <w:rsid w:val="004414B9"/>
    <w:rsid w:val="004A4734"/>
    <w:rsid w:val="00572F7B"/>
    <w:rsid w:val="005A55CD"/>
    <w:rsid w:val="0066262D"/>
    <w:rsid w:val="006A6F1D"/>
    <w:rsid w:val="006B2141"/>
    <w:rsid w:val="00A64AF6"/>
    <w:rsid w:val="00A852C1"/>
    <w:rsid w:val="00AA7177"/>
    <w:rsid w:val="00BE2C22"/>
    <w:rsid w:val="00BE3396"/>
    <w:rsid w:val="00BF2646"/>
    <w:rsid w:val="00C3007F"/>
    <w:rsid w:val="00C31575"/>
    <w:rsid w:val="00C87719"/>
    <w:rsid w:val="00CA2A7E"/>
    <w:rsid w:val="00D13258"/>
    <w:rsid w:val="00D20898"/>
    <w:rsid w:val="00DE0C02"/>
    <w:rsid w:val="00E436D9"/>
    <w:rsid w:val="00ED30E6"/>
    <w:rsid w:val="00F37672"/>
    <w:rsid w:val="00F37DDF"/>
    <w:rsid w:val="00F83E34"/>
    <w:rsid w:val="00FA3A7F"/>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4638"/>
  <w15:docId w15:val="{59DDB64F-9E17-4349-A434-1B24BF9B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554B4"/>
    <w:pPr>
      <w:keepNext/>
      <w:keepLines/>
      <w:numPr>
        <w:numId w:val="10"/>
      </w:numPr>
      <w:spacing w:before="480" w:after="0"/>
      <w:outlineLvl w:val="0"/>
    </w:pPr>
    <w:rPr>
      <w:rFonts w:ascii="Arial" w:eastAsiaTheme="majorEastAsia" w:hAnsi="Arial" w:cstheme="majorBidi"/>
      <w:b/>
      <w:bCs/>
      <w:color w:val="000080"/>
      <w:sz w:val="36"/>
      <w:szCs w:val="28"/>
    </w:rPr>
  </w:style>
  <w:style w:type="paragraph" w:styleId="Heading2">
    <w:name w:val="heading 2"/>
    <w:basedOn w:val="Normal"/>
    <w:next w:val="Normal"/>
    <w:link w:val="Heading2Char"/>
    <w:uiPriority w:val="1"/>
    <w:unhideWhenUsed/>
    <w:qFormat/>
    <w:rsid w:val="000554B4"/>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0554B4"/>
    <w:pPr>
      <w:keepNext/>
      <w:keepLines/>
      <w:numPr>
        <w:ilvl w:val="2"/>
        <w:numId w:val="10"/>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1"/>
    <w:qFormat/>
    <w:rsid w:val="000554B4"/>
    <w:pPr>
      <w:widowControl w:val="0"/>
      <w:numPr>
        <w:ilvl w:val="3"/>
        <w:numId w:val="10"/>
      </w:numPr>
      <w:autoSpaceDE w:val="0"/>
      <w:autoSpaceDN w:val="0"/>
      <w:adjustRightInd w:val="0"/>
      <w:spacing w:before="78" w:after="0" w:line="240" w:lineRule="auto"/>
      <w:outlineLvl w:val="3"/>
    </w:pPr>
    <w:rPr>
      <w:rFonts w:ascii="Book Antiqua" w:hAnsi="Book Antiqua" w:cs="Book Antiqua"/>
      <w:b/>
      <w:bCs/>
      <w:i/>
      <w:iCs/>
    </w:rPr>
  </w:style>
  <w:style w:type="paragraph" w:styleId="Heading5">
    <w:name w:val="heading 5"/>
    <w:basedOn w:val="Normal"/>
    <w:next w:val="Normal"/>
    <w:link w:val="Heading5Char"/>
    <w:uiPriority w:val="9"/>
    <w:semiHidden/>
    <w:unhideWhenUsed/>
    <w:qFormat/>
    <w:rsid w:val="000554B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B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B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B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B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554B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1"/>
    <w:rsid w:val="000554B4"/>
    <w:rPr>
      <w:rFonts w:ascii="Arial" w:eastAsiaTheme="majorEastAsia" w:hAnsi="Arial" w:cstheme="majorBidi"/>
      <w:b/>
      <w:bCs/>
      <w:color w:val="000080"/>
      <w:sz w:val="36"/>
      <w:szCs w:val="28"/>
    </w:rPr>
  </w:style>
  <w:style w:type="character" w:customStyle="1" w:styleId="Heading2Char">
    <w:name w:val="Heading 2 Char"/>
    <w:basedOn w:val="DefaultParagraphFont"/>
    <w:link w:val="Heading2"/>
    <w:uiPriority w:val="1"/>
    <w:rsid w:val="000554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0554B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1"/>
    <w:rsid w:val="000554B4"/>
    <w:rPr>
      <w:rFonts w:ascii="Book Antiqua" w:eastAsiaTheme="minorEastAsia" w:hAnsi="Book Antiqua" w:cs="Book Antiqua"/>
      <w:b/>
      <w:bCs/>
      <w:i/>
      <w:iCs/>
    </w:rPr>
  </w:style>
  <w:style w:type="character" w:customStyle="1" w:styleId="Heading5Char">
    <w:name w:val="Heading 5 Char"/>
    <w:basedOn w:val="DefaultParagraphFont"/>
    <w:link w:val="Heading5"/>
    <w:uiPriority w:val="9"/>
    <w:semiHidden/>
    <w:rsid w:val="000554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B4"/>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554B4"/>
    <w:pPr>
      <w:suppressAutoHyphens/>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rsid w:val="000554B4"/>
    <w:rPr>
      <w:rFonts w:ascii="Times" w:eastAsia="Times New Roman" w:hAnsi="Times" w:cs="Times New Roman"/>
      <w:b/>
      <w:sz w:val="24"/>
      <w:szCs w:val="20"/>
    </w:rPr>
  </w:style>
  <w:style w:type="paragraph" w:styleId="BodyText">
    <w:name w:val="Body Text"/>
    <w:basedOn w:val="Normal"/>
    <w:link w:val="BodyTextChar"/>
    <w:uiPriority w:val="1"/>
    <w:qFormat/>
    <w:rsid w:val="000554B4"/>
    <w:pPr>
      <w:widowControl w:val="0"/>
      <w:autoSpaceDE w:val="0"/>
      <w:autoSpaceDN w:val="0"/>
      <w:adjustRightInd w:val="0"/>
      <w:spacing w:before="91" w:after="0" w:line="240" w:lineRule="auto"/>
      <w:ind w:left="119"/>
    </w:pPr>
    <w:rPr>
      <w:rFonts w:ascii="Bookman Old Style" w:hAnsi="Bookman Old Style" w:cs="Bookman Old Style"/>
    </w:rPr>
  </w:style>
  <w:style w:type="character" w:customStyle="1" w:styleId="BodyTextChar">
    <w:name w:val="Body Text Char"/>
    <w:basedOn w:val="DefaultParagraphFont"/>
    <w:link w:val="BodyText"/>
    <w:uiPriority w:val="1"/>
    <w:rsid w:val="000554B4"/>
    <w:rPr>
      <w:rFonts w:ascii="Bookman Old Style" w:eastAsiaTheme="minorEastAsia" w:hAnsi="Bookman Old Style" w:cs="Bookman Old Style"/>
    </w:rPr>
  </w:style>
  <w:style w:type="paragraph" w:styleId="NoSpacing">
    <w:name w:val="No Spacing"/>
    <w:link w:val="NoSpacingChar"/>
    <w:uiPriority w:val="1"/>
    <w:qFormat/>
    <w:rsid w:val="000554B4"/>
    <w:pPr>
      <w:spacing w:after="0" w:line="240" w:lineRule="auto"/>
    </w:pPr>
  </w:style>
  <w:style w:type="character" w:customStyle="1" w:styleId="NoSpacingChar">
    <w:name w:val="No Spacing Char"/>
    <w:link w:val="NoSpacing"/>
    <w:uiPriority w:val="1"/>
    <w:locked/>
    <w:rsid w:val="000554B4"/>
  </w:style>
  <w:style w:type="paragraph" w:styleId="ListParagraph">
    <w:name w:val="List Paragraph"/>
    <w:basedOn w:val="Normal"/>
    <w:uiPriority w:val="1"/>
    <w:qFormat/>
    <w:rsid w:val="000554B4"/>
    <w:pPr>
      <w:ind w:left="720"/>
      <w:contextualSpacing/>
    </w:pPr>
  </w:style>
  <w:style w:type="paragraph" w:styleId="TOCHeading">
    <w:name w:val="TOC Heading"/>
    <w:basedOn w:val="Heading1"/>
    <w:next w:val="Normal"/>
    <w:uiPriority w:val="39"/>
    <w:semiHidden/>
    <w:unhideWhenUsed/>
    <w:qFormat/>
    <w:rsid w:val="000554B4"/>
    <w:pPr>
      <w:numPr>
        <w:numId w:val="0"/>
      </w:numPr>
      <w:outlineLvl w:val="9"/>
    </w:pPr>
    <w:rPr>
      <w:rFonts w:asciiTheme="majorHAnsi" w:hAnsiTheme="majorHAnsi"/>
      <w:color w:val="365F91" w:themeColor="accent1" w:themeShade="BF"/>
      <w:sz w:val="28"/>
      <w:lang w:eastAsia="ja-JP"/>
    </w:rPr>
  </w:style>
  <w:style w:type="character" w:styleId="CommentReference">
    <w:name w:val="annotation reference"/>
    <w:basedOn w:val="DefaultParagraphFont"/>
    <w:semiHidden/>
    <w:unhideWhenUsed/>
    <w:rsid w:val="00236271"/>
    <w:rPr>
      <w:sz w:val="16"/>
      <w:szCs w:val="16"/>
    </w:rPr>
  </w:style>
  <w:style w:type="paragraph" w:styleId="CommentText">
    <w:name w:val="annotation text"/>
    <w:basedOn w:val="Normal"/>
    <w:link w:val="CommentTextChar"/>
    <w:unhideWhenUsed/>
    <w:rsid w:val="00236271"/>
    <w:pPr>
      <w:spacing w:line="240" w:lineRule="auto"/>
    </w:pPr>
    <w:rPr>
      <w:sz w:val="20"/>
      <w:szCs w:val="20"/>
    </w:rPr>
  </w:style>
  <w:style w:type="character" w:customStyle="1" w:styleId="CommentTextChar">
    <w:name w:val="Comment Text Char"/>
    <w:basedOn w:val="DefaultParagraphFont"/>
    <w:link w:val="CommentText"/>
    <w:rsid w:val="00236271"/>
    <w:rPr>
      <w:sz w:val="20"/>
      <w:szCs w:val="20"/>
    </w:rPr>
  </w:style>
  <w:style w:type="paragraph" w:styleId="BalloonText">
    <w:name w:val="Balloon Text"/>
    <w:basedOn w:val="Normal"/>
    <w:link w:val="BalloonTextChar"/>
    <w:uiPriority w:val="99"/>
    <w:semiHidden/>
    <w:unhideWhenUsed/>
    <w:rsid w:val="002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7672"/>
    <w:rPr>
      <w:b/>
      <w:bCs/>
    </w:rPr>
  </w:style>
  <w:style w:type="character" w:customStyle="1" w:styleId="CommentSubjectChar">
    <w:name w:val="Comment Subject Char"/>
    <w:basedOn w:val="CommentTextChar"/>
    <w:link w:val="CommentSubject"/>
    <w:uiPriority w:val="99"/>
    <w:semiHidden/>
    <w:rsid w:val="00F37672"/>
    <w:rPr>
      <w:b/>
      <w:bCs/>
      <w:sz w:val="20"/>
      <w:szCs w:val="20"/>
    </w:rPr>
  </w:style>
  <w:style w:type="paragraph" w:styleId="Header">
    <w:name w:val="header"/>
    <w:basedOn w:val="Normal"/>
    <w:link w:val="HeaderChar"/>
    <w:uiPriority w:val="99"/>
    <w:unhideWhenUsed/>
    <w:rsid w:val="00E4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D9"/>
  </w:style>
  <w:style w:type="paragraph" w:styleId="Footer">
    <w:name w:val="footer"/>
    <w:basedOn w:val="Normal"/>
    <w:link w:val="FooterChar"/>
    <w:uiPriority w:val="99"/>
    <w:unhideWhenUsed/>
    <w:rsid w:val="00E4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D9"/>
  </w:style>
  <w:style w:type="paragraph" w:styleId="Revision">
    <w:name w:val="Revision"/>
    <w:hidden/>
    <w:uiPriority w:val="99"/>
    <w:semiHidden/>
    <w:rsid w:val="00C3007F"/>
    <w:pPr>
      <w:spacing w:after="0" w:line="240" w:lineRule="auto"/>
    </w:pPr>
  </w:style>
  <w:style w:type="character" w:styleId="PageNumber">
    <w:name w:val="page number"/>
    <w:basedOn w:val="DefaultParagraphFont"/>
    <w:rsid w:val="00F37DDF"/>
  </w:style>
  <w:style w:type="character" w:styleId="Hyperlink">
    <w:name w:val="Hyperlink"/>
    <w:basedOn w:val="DefaultParagraphFont"/>
    <w:uiPriority w:val="99"/>
    <w:unhideWhenUsed/>
    <w:rsid w:val="00441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olutionsllc.com/xhtml/pro/docs/Detailed_ProTech_TO_Procedures-05102017-DEV.docx" TargetMode="External"/><Relationship Id="rId13" Type="http://schemas.openxmlformats.org/officeDocument/2006/relationships/hyperlink" Target="http://www.acquisition.gov/far/current/html/FARTOCP37.html" TargetMode="External"/><Relationship Id="rId18" Type="http://schemas.openxmlformats.org/officeDocument/2006/relationships/hyperlink" Target="http://www.acquisition.gov/far/current/html/FARTOCP10.html" TargetMode="External"/><Relationship Id="rId26" Type="http://schemas.openxmlformats.org/officeDocument/2006/relationships/hyperlink" Target="http://www.acquisition.gov/far/current/html/Subpart%2046_2.html" TargetMode="External"/><Relationship Id="rId3" Type="http://schemas.openxmlformats.org/officeDocument/2006/relationships/styles" Target="styles.xml"/><Relationship Id="rId21" Type="http://schemas.openxmlformats.org/officeDocument/2006/relationships/hyperlink" Target="http://www.acquisition.gov/far/current/html/Subpart%2011_1.html" TargetMode="External"/><Relationship Id="rId7" Type="http://schemas.openxmlformats.org/officeDocument/2006/relationships/endnotes" Target="endnotes.xml"/><Relationship Id="rId12" Type="http://schemas.openxmlformats.org/officeDocument/2006/relationships/hyperlink" Target="http://www.acquisition.gov/far/current/html/Subpart%2037_6.html" TargetMode="External"/><Relationship Id="rId17" Type="http://schemas.openxmlformats.org/officeDocument/2006/relationships/hyperlink" Target="http://www.acquisition.gov/far/current/html/Subpart%207_1.html" TargetMode="External"/><Relationship Id="rId25" Type="http://schemas.openxmlformats.org/officeDocument/2006/relationships/hyperlink" Target="http://www.acquisition.gov/far/current/html/Subpart%2046_1.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quisition.gov/far/current/html/Subpart%207_5.html" TargetMode="External"/><Relationship Id="rId20" Type="http://schemas.openxmlformats.org/officeDocument/2006/relationships/hyperlink" Target="http://www.acquisition.gov/far/current/html/Subpart%2011_1.html" TargetMode="External"/><Relationship Id="rId29" Type="http://schemas.openxmlformats.org/officeDocument/2006/relationships/hyperlink" Target="https://www.acquisition.gov/seven_steps/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olutionsllc.com/xhtml/pro/docs/NOAA_SOO_Template-051017.docx" TargetMode="External"/><Relationship Id="rId24" Type="http://schemas.openxmlformats.org/officeDocument/2006/relationships/hyperlink" Target="http://www.acquisition.gov/far/current/html/Subpart%2046_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quisition.gov/far/current/html/FARTOCP07.html" TargetMode="External"/><Relationship Id="rId23" Type="http://schemas.openxmlformats.org/officeDocument/2006/relationships/hyperlink" Target="http://www.acquisition.gov/far/current/html/Subpart%2046_1.html" TargetMode="External"/><Relationship Id="rId28" Type="http://schemas.openxmlformats.org/officeDocument/2006/relationships/hyperlink" Target="https://www.acquisition.gov/seven_steps/library/act_fed-acq-stream.pdf" TargetMode="External"/><Relationship Id="rId10" Type="http://schemas.openxmlformats.org/officeDocument/2006/relationships/hyperlink" Target="http://www.imsolutionsllc.com/xhtml/pro/docs/NOAA_QASP_Template-051017.docx" TargetMode="External"/><Relationship Id="rId19" Type="http://schemas.openxmlformats.org/officeDocument/2006/relationships/hyperlink" Target="http://www.acquisition.gov/far/current/html/FARTOCP11.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solutionsllc.com/xhtml/pro/docs/NOAA_PWS_Template-051017.docx" TargetMode="External"/><Relationship Id="rId14" Type="http://schemas.openxmlformats.org/officeDocument/2006/relationships/hyperlink" Target="http://www.acquisition.gov/far/current/html/Subpart%201_1.html" TargetMode="External"/><Relationship Id="rId22" Type="http://schemas.openxmlformats.org/officeDocument/2006/relationships/hyperlink" Target="http://www.acquisition.gov/far/current/html/FARTOCP46.html" TargetMode="External"/><Relationship Id="rId27" Type="http://schemas.openxmlformats.org/officeDocument/2006/relationships/hyperlink" Target="http://www.acquisition.gov/far/current/html/Subpart%2046_3.html" TargetMode="External"/><Relationship Id="rId30" Type="http://schemas.openxmlformats.org/officeDocument/2006/relationships/hyperlink" Target="http://www.dau.mil/publications/publicationsDocs/Acquisition_of_Services_v5_%207_20_20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5E25-9306-4D79-B8E5-F92C2E3C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Mark.T.Molloy</dc:creator>
  <cp:lastModifiedBy>Jason Runge</cp:lastModifiedBy>
  <cp:revision>4</cp:revision>
  <dcterms:created xsi:type="dcterms:W3CDTF">2017-05-08T16:52:00Z</dcterms:created>
  <dcterms:modified xsi:type="dcterms:W3CDTF">2017-05-10T18:28:00Z</dcterms:modified>
</cp:coreProperties>
</file>